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6F3" w:rsidRDefault="00B61E6C">
      <w:pPr>
        <w:spacing w:after="120"/>
        <w:jc w:val="center"/>
        <w:rPr>
          <w:b/>
          <w:lang w:val="uk-UA"/>
        </w:rPr>
      </w:pPr>
      <w:r>
        <w:rPr>
          <w:noProof/>
          <w:lang w:val="uk-UA"/>
        </w:rPr>
        <w:drawing>
          <wp:inline distT="0" distB="0" distL="0" distR="0">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57225" cy="800100"/>
                    </a:xfrm>
                    <a:prstGeom prst="rect">
                      <a:avLst/>
                    </a:prstGeom>
                    <a:noFill/>
                    <a:ln>
                      <a:noFill/>
                    </a:ln>
                  </pic:spPr>
                </pic:pic>
              </a:graphicData>
            </a:graphic>
          </wp:inline>
        </w:drawing>
      </w:r>
    </w:p>
    <w:p w:rsidR="003F56F3" w:rsidRDefault="00B61E6C">
      <w:pPr>
        <w:spacing w:after="0" w:line="240" w:lineRule="auto"/>
        <w:jc w:val="center"/>
        <w:rPr>
          <w:b/>
          <w:sz w:val="28"/>
          <w:szCs w:val="28"/>
          <w:lang w:val="uk-UA"/>
        </w:rPr>
      </w:pPr>
      <w:bookmarkStart w:id="0" w:name="_Hlk237507084"/>
      <w:r>
        <w:rPr>
          <w:b/>
          <w:sz w:val="28"/>
          <w:szCs w:val="28"/>
          <w:lang w:val="uk-UA"/>
        </w:rPr>
        <w:t>УКРАЇНА</w:t>
      </w:r>
    </w:p>
    <w:p w:rsidR="003F56F3" w:rsidRDefault="00B61E6C">
      <w:pPr>
        <w:spacing w:after="0" w:line="240" w:lineRule="auto"/>
        <w:jc w:val="center"/>
        <w:rPr>
          <w:b/>
          <w:sz w:val="28"/>
          <w:szCs w:val="28"/>
          <w:lang w:val="uk-UA"/>
        </w:rPr>
      </w:pPr>
      <w:r>
        <w:rPr>
          <w:b/>
          <w:sz w:val="28"/>
          <w:szCs w:val="28"/>
          <w:lang w:val="uk-UA"/>
        </w:rPr>
        <w:t>ПОЛЯНИЦЬКОЇ  СІЛЬСЬКОЇ РАДИ</w:t>
      </w:r>
    </w:p>
    <w:p w:rsidR="003F56F3" w:rsidRDefault="00B61E6C">
      <w:pPr>
        <w:spacing w:after="0" w:line="240" w:lineRule="auto"/>
        <w:jc w:val="center"/>
        <w:rPr>
          <w:b/>
          <w:sz w:val="28"/>
          <w:szCs w:val="28"/>
          <w:lang w:val="uk-UA"/>
        </w:rPr>
      </w:pPr>
      <w:r>
        <w:rPr>
          <w:b/>
          <w:sz w:val="28"/>
          <w:szCs w:val="28"/>
          <w:lang w:val="uk-UA"/>
        </w:rPr>
        <w:t>НАДВІРНЯНСЬКОГО РАЙОНУ ІВАНО-ФРАНКІВСЬКОЇ ОБЛАСТІ</w:t>
      </w:r>
    </w:p>
    <w:p w:rsidR="003F56F3" w:rsidRDefault="00B61E6C">
      <w:pPr>
        <w:spacing w:after="0" w:line="240" w:lineRule="auto"/>
        <w:jc w:val="center"/>
        <w:rPr>
          <w:b/>
          <w:sz w:val="28"/>
          <w:szCs w:val="28"/>
          <w:lang w:val="uk-UA"/>
        </w:rPr>
      </w:pPr>
      <w:r>
        <w:rPr>
          <w:b/>
          <w:sz w:val="28"/>
          <w:szCs w:val="28"/>
          <w:lang w:val="uk-UA"/>
        </w:rPr>
        <w:t>ВИКОНАВЧИЙ КОМІТЕТ</w:t>
      </w:r>
    </w:p>
    <w:p w:rsidR="003F56F3" w:rsidRDefault="00B61E6C">
      <w:pPr>
        <w:spacing w:after="0" w:line="240" w:lineRule="auto"/>
        <w:jc w:val="center"/>
        <w:rPr>
          <w:b/>
          <w:sz w:val="28"/>
          <w:szCs w:val="28"/>
          <w:lang w:val="uk-UA"/>
        </w:rPr>
      </w:pPr>
      <w:r>
        <w:rPr>
          <w:b/>
          <w:sz w:val="28"/>
          <w:szCs w:val="28"/>
          <w:lang w:val="uk-UA"/>
        </w:rPr>
        <w:t xml:space="preserve">       РІШЕННЯ </w:t>
      </w:r>
      <w:r w:rsidR="00DF3F66">
        <w:rPr>
          <w:b/>
          <w:sz w:val="28"/>
          <w:szCs w:val="28"/>
          <w:lang w:val="uk-UA"/>
        </w:rPr>
        <w:t xml:space="preserve"> </w:t>
      </w:r>
      <w:proofErr w:type="spellStart"/>
      <w:r w:rsidR="00DF3F66">
        <w:rPr>
          <w:b/>
          <w:sz w:val="28"/>
          <w:szCs w:val="28"/>
          <w:lang w:val="uk-UA"/>
        </w:rPr>
        <w:t>проєкт</w:t>
      </w:r>
      <w:proofErr w:type="spellEnd"/>
      <w:r w:rsidR="00DF3F66">
        <w:rPr>
          <w:b/>
          <w:sz w:val="28"/>
          <w:szCs w:val="28"/>
          <w:lang w:val="uk-UA"/>
        </w:rPr>
        <w:t xml:space="preserve"> </w:t>
      </w:r>
    </w:p>
    <w:p w:rsidR="003F56F3" w:rsidRDefault="003F56F3">
      <w:pPr>
        <w:spacing w:after="0" w:line="240" w:lineRule="auto"/>
        <w:jc w:val="center"/>
        <w:rPr>
          <w:b/>
          <w:sz w:val="28"/>
          <w:szCs w:val="28"/>
          <w:lang w:val="uk-UA"/>
        </w:rPr>
      </w:pPr>
    </w:p>
    <w:p w:rsidR="003F56F3" w:rsidRDefault="00DF3F66">
      <w:pPr>
        <w:spacing w:after="120"/>
        <w:jc w:val="both"/>
        <w:rPr>
          <w:lang w:val="uk-UA"/>
        </w:rPr>
      </w:pPr>
      <w:r>
        <w:rPr>
          <w:lang w:val="uk-UA"/>
        </w:rPr>
        <w:t>20</w:t>
      </w:r>
      <w:r w:rsidR="00B61E6C">
        <w:rPr>
          <w:lang w:val="uk-UA"/>
        </w:rPr>
        <w:t>.08 2026 року                                                 с. Поляниця                                            № ____</w:t>
      </w:r>
    </w:p>
    <w:p w:rsidR="003F56F3" w:rsidRDefault="003F56F3">
      <w:pPr>
        <w:spacing w:after="120"/>
        <w:ind w:right="5577"/>
        <w:rPr>
          <w:b/>
          <w:lang w:val="uk-UA"/>
        </w:rPr>
      </w:pPr>
    </w:p>
    <w:p w:rsidR="003F56F3" w:rsidRPr="009D30A1" w:rsidRDefault="00B61E6C" w:rsidP="00FD0A46">
      <w:pPr>
        <w:spacing w:after="120"/>
        <w:ind w:right="4727"/>
        <w:rPr>
          <w:sz w:val="28"/>
          <w:szCs w:val="28"/>
          <w:lang w:val="uk-UA"/>
        </w:rPr>
      </w:pPr>
      <w:r w:rsidRPr="009D30A1">
        <w:rPr>
          <w:b/>
          <w:sz w:val="28"/>
          <w:szCs w:val="28"/>
          <w:lang w:val="uk-UA"/>
        </w:rPr>
        <w:t xml:space="preserve">Про затвердження </w:t>
      </w:r>
      <w:r w:rsidR="00FD0A46">
        <w:rPr>
          <w:b/>
          <w:sz w:val="28"/>
          <w:szCs w:val="28"/>
          <w:lang w:val="uk-UA"/>
        </w:rPr>
        <w:t>С</w:t>
      </w:r>
      <w:r w:rsidRPr="009D30A1">
        <w:rPr>
          <w:b/>
          <w:sz w:val="28"/>
          <w:szCs w:val="28"/>
          <w:lang w:val="uk-UA"/>
        </w:rPr>
        <w:t xml:space="preserve">ередньострокового плану пріоритетних публічних інвестицій </w:t>
      </w:r>
      <w:proofErr w:type="spellStart"/>
      <w:r w:rsidRPr="009D30A1">
        <w:rPr>
          <w:b/>
          <w:sz w:val="28"/>
          <w:szCs w:val="28"/>
          <w:lang w:val="uk-UA"/>
        </w:rPr>
        <w:t>Поляницької</w:t>
      </w:r>
      <w:proofErr w:type="spellEnd"/>
      <w:r w:rsidRPr="009D30A1">
        <w:rPr>
          <w:b/>
          <w:sz w:val="28"/>
          <w:szCs w:val="28"/>
          <w:lang w:val="uk-UA"/>
        </w:rPr>
        <w:t xml:space="preserve"> сільської територіальної громади на 2027–2029 роки</w:t>
      </w:r>
    </w:p>
    <w:p w:rsidR="003F56F3" w:rsidRPr="009D30A1" w:rsidRDefault="00DF3F66" w:rsidP="00DF3F66">
      <w:pPr>
        <w:spacing w:after="120"/>
        <w:jc w:val="both"/>
        <w:rPr>
          <w:sz w:val="28"/>
          <w:szCs w:val="28"/>
          <w:lang w:val="uk-UA"/>
        </w:rPr>
      </w:pPr>
      <w:r w:rsidRPr="009D30A1">
        <w:rPr>
          <w:sz w:val="28"/>
          <w:szCs w:val="28"/>
          <w:lang w:val="uk-UA"/>
        </w:rPr>
        <w:t xml:space="preserve">           </w:t>
      </w:r>
      <w:r w:rsidR="00B61E6C" w:rsidRPr="009D30A1">
        <w:rPr>
          <w:sz w:val="28"/>
          <w:szCs w:val="28"/>
          <w:lang w:val="uk-UA"/>
        </w:rPr>
        <w:t xml:space="preserve">З метою забезпечення прозорого, ефективного та збалансованого процесу управління публічними інвестиціями в </w:t>
      </w:r>
      <w:proofErr w:type="spellStart"/>
      <w:r w:rsidR="00B61E6C" w:rsidRPr="009D30A1">
        <w:rPr>
          <w:sz w:val="28"/>
          <w:szCs w:val="28"/>
          <w:lang w:val="uk-UA"/>
        </w:rPr>
        <w:t>Поляницькій</w:t>
      </w:r>
      <w:proofErr w:type="spellEnd"/>
      <w:r w:rsidR="00B61E6C" w:rsidRPr="009D30A1">
        <w:rPr>
          <w:sz w:val="28"/>
          <w:szCs w:val="28"/>
          <w:lang w:val="uk-UA"/>
        </w:rPr>
        <w:t xml:space="preserve"> сільській територіальній громаді, відповідно до статті 75-2 Бюджетного кодексу України, постанов Кабінету Міністрів України у сфері управління публічними інвестиціями та на основі Стратегії розвитку </w:t>
      </w:r>
      <w:proofErr w:type="spellStart"/>
      <w:r w:rsidR="00B61E6C" w:rsidRPr="009D30A1">
        <w:rPr>
          <w:sz w:val="28"/>
          <w:szCs w:val="28"/>
          <w:lang w:val="uk-UA"/>
        </w:rPr>
        <w:t>Поляницької</w:t>
      </w:r>
      <w:proofErr w:type="spellEnd"/>
      <w:r w:rsidR="00B61E6C" w:rsidRPr="009D30A1">
        <w:rPr>
          <w:sz w:val="28"/>
          <w:szCs w:val="28"/>
          <w:lang w:val="uk-UA"/>
        </w:rPr>
        <w:t xml:space="preserve"> територіальної громади на період до 2030 року, керуючись статт</w:t>
      </w:r>
      <w:r w:rsidR="00411368" w:rsidRPr="009D30A1">
        <w:rPr>
          <w:sz w:val="28"/>
          <w:szCs w:val="28"/>
          <w:lang w:val="uk-UA"/>
        </w:rPr>
        <w:t>ею 40</w:t>
      </w:r>
      <w:r w:rsidR="00B61E6C" w:rsidRPr="009D30A1">
        <w:rPr>
          <w:sz w:val="28"/>
          <w:szCs w:val="28"/>
          <w:lang w:val="uk-UA"/>
        </w:rPr>
        <w:t xml:space="preserve"> </w:t>
      </w:r>
      <w:r w:rsidR="00B61E6C" w:rsidRPr="009D30A1">
        <w:rPr>
          <w:color w:val="FF0000"/>
          <w:sz w:val="28"/>
          <w:szCs w:val="28"/>
          <w:lang w:val="uk-UA"/>
        </w:rPr>
        <w:t xml:space="preserve"> </w:t>
      </w:r>
      <w:r w:rsidR="00B61E6C" w:rsidRPr="009D30A1">
        <w:rPr>
          <w:sz w:val="28"/>
          <w:szCs w:val="28"/>
          <w:lang w:val="uk-UA"/>
        </w:rPr>
        <w:t>Закону України «Про місцеве самоврядування в Україні»,</w:t>
      </w:r>
      <w:r w:rsidRPr="009D30A1">
        <w:rPr>
          <w:sz w:val="28"/>
          <w:szCs w:val="28"/>
          <w:lang w:val="uk-UA"/>
        </w:rPr>
        <w:t xml:space="preserve"> виконавчий комітет </w:t>
      </w:r>
      <w:r w:rsidR="00B61E6C" w:rsidRPr="009D30A1">
        <w:rPr>
          <w:sz w:val="28"/>
          <w:szCs w:val="28"/>
          <w:lang w:val="uk-UA"/>
        </w:rPr>
        <w:t xml:space="preserve"> </w:t>
      </w:r>
      <w:proofErr w:type="spellStart"/>
      <w:r w:rsidR="00B61E6C" w:rsidRPr="009D30A1">
        <w:rPr>
          <w:sz w:val="28"/>
          <w:szCs w:val="28"/>
          <w:lang w:val="uk-UA"/>
        </w:rPr>
        <w:t>Поляницьк</w:t>
      </w:r>
      <w:r w:rsidRPr="009D30A1">
        <w:rPr>
          <w:sz w:val="28"/>
          <w:szCs w:val="28"/>
          <w:lang w:val="uk-UA"/>
        </w:rPr>
        <w:t>ої</w:t>
      </w:r>
      <w:proofErr w:type="spellEnd"/>
      <w:r w:rsidRPr="009D30A1">
        <w:rPr>
          <w:sz w:val="28"/>
          <w:szCs w:val="28"/>
          <w:lang w:val="uk-UA"/>
        </w:rPr>
        <w:t xml:space="preserve"> </w:t>
      </w:r>
      <w:r w:rsidR="00B61E6C" w:rsidRPr="009D30A1">
        <w:rPr>
          <w:sz w:val="28"/>
          <w:szCs w:val="28"/>
          <w:lang w:val="uk-UA"/>
        </w:rPr>
        <w:t xml:space="preserve"> сільсь</w:t>
      </w:r>
      <w:r w:rsidR="002F689A">
        <w:rPr>
          <w:sz w:val="28"/>
          <w:szCs w:val="28"/>
          <w:lang w:val="uk-UA"/>
        </w:rPr>
        <w:t>к</w:t>
      </w:r>
      <w:r w:rsidRPr="009D30A1">
        <w:rPr>
          <w:sz w:val="28"/>
          <w:szCs w:val="28"/>
          <w:lang w:val="uk-UA"/>
        </w:rPr>
        <w:t xml:space="preserve">ої </w:t>
      </w:r>
      <w:r w:rsidR="00B61E6C" w:rsidRPr="009D30A1">
        <w:rPr>
          <w:sz w:val="28"/>
          <w:szCs w:val="28"/>
          <w:lang w:val="uk-UA"/>
        </w:rPr>
        <w:t xml:space="preserve"> рад</w:t>
      </w:r>
      <w:r w:rsidRPr="009D30A1">
        <w:rPr>
          <w:sz w:val="28"/>
          <w:szCs w:val="28"/>
          <w:lang w:val="uk-UA"/>
        </w:rPr>
        <w:t>и</w:t>
      </w:r>
    </w:p>
    <w:p w:rsidR="003F56F3" w:rsidRPr="009D30A1" w:rsidRDefault="00B61E6C" w:rsidP="005C403D">
      <w:pPr>
        <w:spacing w:after="120"/>
        <w:jc w:val="both"/>
        <w:rPr>
          <w:sz w:val="28"/>
          <w:szCs w:val="28"/>
          <w:lang w:val="uk-UA"/>
        </w:rPr>
      </w:pPr>
      <w:bookmarkStart w:id="1" w:name="_Hlk237507295"/>
      <w:bookmarkEnd w:id="0"/>
      <w:r w:rsidRPr="009D30A1">
        <w:rPr>
          <w:b/>
          <w:sz w:val="28"/>
          <w:szCs w:val="28"/>
          <w:lang w:val="uk-UA"/>
        </w:rPr>
        <w:t>ВИРІШИ</w:t>
      </w:r>
      <w:r w:rsidR="00DF3F66" w:rsidRPr="009D30A1">
        <w:rPr>
          <w:b/>
          <w:sz w:val="28"/>
          <w:szCs w:val="28"/>
          <w:lang w:val="uk-UA"/>
        </w:rPr>
        <w:t>В</w:t>
      </w:r>
      <w:r w:rsidRPr="009D30A1">
        <w:rPr>
          <w:b/>
          <w:sz w:val="28"/>
          <w:szCs w:val="28"/>
          <w:lang w:val="uk-UA"/>
        </w:rPr>
        <w:t>:</w:t>
      </w:r>
    </w:p>
    <w:p w:rsidR="003F56F3" w:rsidRPr="009D30A1" w:rsidRDefault="00B61E6C" w:rsidP="005C403D">
      <w:pPr>
        <w:pStyle w:val="aff"/>
        <w:numPr>
          <w:ilvl w:val="0"/>
          <w:numId w:val="8"/>
        </w:numPr>
        <w:spacing w:after="120"/>
        <w:ind w:left="426" w:hanging="66"/>
        <w:jc w:val="both"/>
        <w:rPr>
          <w:sz w:val="28"/>
          <w:szCs w:val="28"/>
          <w:lang w:val="uk-UA"/>
        </w:rPr>
      </w:pPr>
      <w:r w:rsidRPr="009D30A1">
        <w:rPr>
          <w:sz w:val="28"/>
          <w:szCs w:val="28"/>
          <w:lang w:val="uk-UA"/>
        </w:rPr>
        <w:t xml:space="preserve">Затвердити Середньостроковий план пріоритетних публічних інвестицій </w:t>
      </w:r>
      <w:proofErr w:type="spellStart"/>
      <w:r w:rsidRPr="009D30A1">
        <w:rPr>
          <w:sz w:val="28"/>
          <w:szCs w:val="28"/>
          <w:lang w:val="uk-UA"/>
        </w:rPr>
        <w:t>Поляницької</w:t>
      </w:r>
      <w:proofErr w:type="spellEnd"/>
      <w:r w:rsidRPr="009D30A1">
        <w:rPr>
          <w:sz w:val="28"/>
          <w:szCs w:val="28"/>
          <w:lang w:val="uk-UA"/>
        </w:rPr>
        <w:t xml:space="preserve"> сільської територіальної громади на 2027–2029 роки, що додається.</w:t>
      </w:r>
    </w:p>
    <w:p w:rsidR="002D5849" w:rsidRPr="009D30A1" w:rsidRDefault="002D5849" w:rsidP="005C403D">
      <w:pPr>
        <w:pStyle w:val="aff"/>
        <w:numPr>
          <w:ilvl w:val="0"/>
          <w:numId w:val="8"/>
        </w:numPr>
        <w:spacing w:after="120"/>
        <w:ind w:left="567" w:hanging="283"/>
        <w:jc w:val="both"/>
        <w:rPr>
          <w:sz w:val="28"/>
          <w:szCs w:val="28"/>
          <w:lang w:val="uk-UA"/>
        </w:rPr>
      </w:pPr>
      <w:r w:rsidRPr="009D30A1">
        <w:rPr>
          <w:sz w:val="28"/>
          <w:szCs w:val="28"/>
          <w:lang w:val="uk-UA"/>
        </w:rPr>
        <w:t xml:space="preserve">Розпорядникам коштів бюджету </w:t>
      </w:r>
      <w:proofErr w:type="spellStart"/>
      <w:r w:rsidR="00411368" w:rsidRPr="009D30A1">
        <w:rPr>
          <w:sz w:val="28"/>
          <w:szCs w:val="28"/>
          <w:lang w:val="uk-UA"/>
        </w:rPr>
        <w:t>Поляницької</w:t>
      </w:r>
      <w:proofErr w:type="spellEnd"/>
      <w:r w:rsidR="00411368" w:rsidRPr="009D30A1">
        <w:rPr>
          <w:sz w:val="28"/>
          <w:szCs w:val="28"/>
          <w:lang w:val="uk-UA"/>
        </w:rPr>
        <w:t xml:space="preserve">  сільської </w:t>
      </w:r>
      <w:r w:rsidRPr="009D30A1">
        <w:rPr>
          <w:sz w:val="28"/>
          <w:szCs w:val="28"/>
          <w:lang w:val="uk-UA"/>
        </w:rPr>
        <w:t xml:space="preserve"> територіальної громади забезпечити виконання Середньострокового плану пріоритетних публічних інвестицій </w:t>
      </w:r>
      <w:proofErr w:type="spellStart"/>
      <w:r w:rsidR="00411368" w:rsidRPr="009D30A1">
        <w:rPr>
          <w:sz w:val="28"/>
          <w:szCs w:val="28"/>
          <w:lang w:val="uk-UA"/>
        </w:rPr>
        <w:t>Поляницької</w:t>
      </w:r>
      <w:proofErr w:type="spellEnd"/>
      <w:r w:rsidR="00411368" w:rsidRPr="009D30A1">
        <w:rPr>
          <w:sz w:val="28"/>
          <w:szCs w:val="28"/>
          <w:lang w:val="uk-UA"/>
        </w:rPr>
        <w:t xml:space="preserve">  сільської  </w:t>
      </w:r>
      <w:r w:rsidRPr="009D30A1">
        <w:rPr>
          <w:sz w:val="28"/>
          <w:szCs w:val="28"/>
          <w:lang w:val="uk-UA"/>
        </w:rPr>
        <w:t>територіальної громади на</w:t>
      </w:r>
      <w:r w:rsidR="00411368" w:rsidRPr="009D30A1">
        <w:rPr>
          <w:sz w:val="28"/>
          <w:szCs w:val="28"/>
          <w:lang w:val="uk-UA"/>
        </w:rPr>
        <w:t xml:space="preserve"> 2027-2029 роки </w:t>
      </w:r>
    </w:p>
    <w:p w:rsidR="002F689A" w:rsidRPr="002F689A" w:rsidRDefault="00B61E6C" w:rsidP="002F689A">
      <w:pPr>
        <w:pStyle w:val="aff"/>
        <w:numPr>
          <w:ilvl w:val="0"/>
          <w:numId w:val="8"/>
        </w:numPr>
        <w:spacing w:after="0" w:line="240" w:lineRule="auto"/>
        <w:jc w:val="both"/>
        <w:rPr>
          <w:sz w:val="28"/>
          <w:szCs w:val="28"/>
          <w:lang w:val="uk-UA"/>
        </w:rPr>
      </w:pPr>
      <w:r w:rsidRPr="002F689A">
        <w:rPr>
          <w:sz w:val="28"/>
          <w:szCs w:val="28"/>
          <w:lang w:val="uk-UA"/>
        </w:rPr>
        <w:t xml:space="preserve">Контроль за виконанням цього рішення покласти на заступника сільського </w:t>
      </w:r>
      <w:r w:rsidR="002F689A" w:rsidRPr="002F689A">
        <w:rPr>
          <w:sz w:val="28"/>
          <w:szCs w:val="28"/>
          <w:lang w:val="uk-UA"/>
        </w:rPr>
        <w:t xml:space="preserve"> </w:t>
      </w:r>
    </w:p>
    <w:p w:rsidR="003F56F3" w:rsidRPr="002F689A" w:rsidRDefault="002F689A" w:rsidP="002F689A">
      <w:pPr>
        <w:pStyle w:val="aff"/>
        <w:spacing w:after="0" w:line="240" w:lineRule="auto"/>
        <w:jc w:val="both"/>
        <w:rPr>
          <w:sz w:val="28"/>
          <w:szCs w:val="28"/>
          <w:lang w:val="uk-UA"/>
        </w:rPr>
      </w:pPr>
      <w:bookmarkStart w:id="2" w:name="_GoBack"/>
      <w:bookmarkEnd w:id="2"/>
      <w:r w:rsidRPr="002F689A">
        <w:rPr>
          <w:sz w:val="28"/>
          <w:szCs w:val="28"/>
          <w:lang w:val="uk-UA"/>
        </w:rPr>
        <w:t xml:space="preserve">  </w:t>
      </w:r>
      <w:r w:rsidR="00B61E6C" w:rsidRPr="002F689A">
        <w:rPr>
          <w:sz w:val="28"/>
          <w:szCs w:val="28"/>
          <w:lang w:val="uk-UA"/>
        </w:rPr>
        <w:t xml:space="preserve">голови з питань </w:t>
      </w:r>
      <w:r w:rsidR="00411368" w:rsidRPr="002F689A">
        <w:rPr>
          <w:sz w:val="28"/>
          <w:szCs w:val="28"/>
          <w:lang w:val="uk-UA"/>
        </w:rPr>
        <w:t xml:space="preserve">   </w:t>
      </w:r>
      <w:r w:rsidR="00B61E6C" w:rsidRPr="002F689A">
        <w:rPr>
          <w:sz w:val="28"/>
          <w:szCs w:val="28"/>
          <w:lang w:val="uk-UA"/>
        </w:rPr>
        <w:t xml:space="preserve">діяльності виконавчих  органів  Андрія </w:t>
      </w:r>
      <w:proofErr w:type="spellStart"/>
      <w:r w:rsidR="00B61E6C" w:rsidRPr="002F689A">
        <w:rPr>
          <w:sz w:val="28"/>
          <w:szCs w:val="28"/>
          <w:lang w:val="uk-UA"/>
        </w:rPr>
        <w:t>Маджарина</w:t>
      </w:r>
      <w:proofErr w:type="spellEnd"/>
      <w:r w:rsidR="00B61E6C" w:rsidRPr="002F689A">
        <w:rPr>
          <w:sz w:val="28"/>
          <w:szCs w:val="28"/>
          <w:lang w:val="uk-UA"/>
        </w:rPr>
        <w:t xml:space="preserve">. </w:t>
      </w:r>
    </w:p>
    <w:p w:rsidR="003F56F3" w:rsidRPr="009D30A1" w:rsidRDefault="003F56F3" w:rsidP="005C403D">
      <w:pPr>
        <w:spacing w:after="120"/>
        <w:jc w:val="both"/>
        <w:rPr>
          <w:sz w:val="28"/>
          <w:szCs w:val="28"/>
          <w:lang w:val="uk-UA"/>
        </w:rPr>
      </w:pPr>
    </w:p>
    <w:p w:rsidR="003F56F3" w:rsidRPr="009D30A1" w:rsidRDefault="00B61E6C">
      <w:pPr>
        <w:pStyle w:val="1f3"/>
        <w:rPr>
          <w:rFonts w:ascii="Times New Roman" w:eastAsia="Arial Unicode MS" w:hAnsi="Times New Roman" w:cs="Arial Unicode MS"/>
          <w:b/>
          <w:bCs/>
          <w:sz w:val="28"/>
          <w:szCs w:val="28"/>
        </w:rPr>
      </w:pPr>
      <w:bookmarkStart w:id="3" w:name="_Hlk237507324"/>
      <w:proofErr w:type="spellStart"/>
      <w:r w:rsidRPr="009D30A1">
        <w:rPr>
          <w:rFonts w:ascii="Times New Roman" w:eastAsia="Arial Unicode MS" w:hAnsi="Times New Roman"/>
          <w:b/>
          <w:bCs/>
          <w:sz w:val="28"/>
          <w:szCs w:val="28"/>
        </w:rPr>
        <w:t>Поляницький</w:t>
      </w:r>
      <w:proofErr w:type="spellEnd"/>
      <w:r w:rsidRPr="009D30A1">
        <w:rPr>
          <w:rFonts w:ascii="Times New Roman" w:eastAsia="Arial Unicode MS" w:hAnsi="Times New Roman"/>
          <w:b/>
          <w:bCs/>
          <w:sz w:val="28"/>
          <w:szCs w:val="28"/>
        </w:rPr>
        <w:t xml:space="preserve"> сільський голова </w:t>
      </w:r>
      <w:r w:rsidRPr="009D30A1">
        <w:rPr>
          <w:rFonts w:ascii="Times New Roman" w:eastAsia="Arial Unicode MS" w:hAnsi="Times New Roman" w:cs="Arial Unicode MS"/>
          <w:b/>
          <w:bCs/>
          <w:sz w:val="28"/>
          <w:szCs w:val="28"/>
        </w:rPr>
        <w:tab/>
      </w:r>
      <w:r w:rsidRPr="009D30A1">
        <w:rPr>
          <w:rFonts w:ascii="Times New Roman" w:eastAsia="Arial Unicode MS" w:hAnsi="Times New Roman" w:cs="Arial Unicode MS"/>
          <w:b/>
          <w:bCs/>
          <w:sz w:val="28"/>
          <w:szCs w:val="28"/>
        </w:rPr>
        <w:tab/>
        <w:t xml:space="preserve">                 </w:t>
      </w:r>
      <w:bookmarkEnd w:id="1"/>
      <w:r w:rsidRPr="009D30A1">
        <w:rPr>
          <w:rFonts w:ascii="Times New Roman" w:eastAsia="Arial Unicode MS" w:hAnsi="Times New Roman" w:cs="Arial Unicode MS"/>
          <w:b/>
          <w:bCs/>
          <w:sz w:val="28"/>
          <w:szCs w:val="28"/>
        </w:rPr>
        <w:tab/>
      </w:r>
      <w:r w:rsidRPr="009D30A1">
        <w:rPr>
          <w:rFonts w:ascii="Times New Roman" w:eastAsia="Arial Unicode MS" w:hAnsi="Times New Roman" w:cs="Arial Unicode MS"/>
          <w:b/>
          <w:bCs/>
          <w:sz w:val="28"/>
          <w:szCs w:val="28"/>
        </w:rPr>
        <w:tab/>
      </w:r>
      <w:r w:rsidRPr="009D30A1">
        <w:rPr>
          <w:rFonts w:ascii="Times New Roman" w:eastAsia="Arial Unicode MS" w:hAnsi="Times New Roman"/>
          <w:b/>
          <w:bCs/>
          <w:sz w:val="28"/>
          <w:szCs w:val="28"/>
        </w:rPr>
        <w:t>Микола ПОЛЯК</w:t>
      </w:r>
    </w:p>
    <w:bookmarkEnd w:id="3"/>
    <w:p w:rsidR="003F56F3" w:rsidRPr="009D30A1" w:rsidRDefault="00B61E6C">
      <w:pPr>
        <w:spacing w:after="120"/>
        <w:rPr>
          <w:sz w:val="28"/>
          <w:szCs w:val="28"/>
          <w:lang w:val="uk-UA"/>
        </w:rPr>
      </w:pPr>
      <w:r w:rsidRPr="009D30A1">
        <w:rPr>
          <w:sz w:val="28"/>
          <w:szCs w:val="28"/>
          <w:lang w:val="uk-UA"/>
        </w:rPr>
        <w:lastRenderedPageBreak/>
        <w:br w:type="page"/>
      </w:r>
    </w:p>
    <w:p w:rsidR="003F56F3" w:rsidRDefault="00B61E6C">
      <w:pPr>
        <w:spacing w:after="0" w:line="240" w:lineRule="auto"/>
        <w:ind w:firstLine="5812"/>
        <w:rPr>
          <w:lang w:val="uk-UA"/>
        </w:rPr>
      </w:pPr>
      <w:r>
        <w:rPr>
          <w:b/>
          <w:lang w:val="uk-UA"/>
        </w:rPr>
        <w:lastRenderedPageBreak/>
        <w:t>ЗАТВЕРДЖЕНО</w:t>
      </w:r>
    </w:p>
    <w:p w:rsidR="003F56F3" w:rsidRPr="00E629DE" w:rsidRDefault="00B61E6C">
      <w:pPr>
        <w:spacing w:after="0" w:line="240" w:lineRule="auto"/>
        <w:ind w:firstLine="5812"/>
        <w:rPr>
          <w:sz w:val="28"/>
          <w:szCs w:val="28"/>
          <w:lang w:val="ru-RU"/>
        </w:rPr>
      </w:pPr>
      <w:r w:rsidRPr="00E629DE">
        <w:rPr>
          <w:sz w:val="28"/>
          <w:szCs w:val="28"/>
          <w:lang w:val="ru-RU"/>
        </w:rPr>
        <w:t xml:space="preserve">рішення виконавчого комітету </w:t>
      </w:r>
    </w:p>
    <w:p w:rsidR="003F56F3" w:rsidRDefault="00B61E6C">
      <w:pPr>
        <w:spacing w:after="0" w:line="240" w:lineRule="auto"/>
        <w:ind w:firstLine="5812"/>
        <w:rPr>
          <w:lang w:val="uk-UA"/>
        </w:rPr>
      </w:pPr>
      <w:r>
        <w:rPr>
          <w:lang w:val="uk-UA"/>
        </w:rPr>
        <w:t>від «___» __________ 2026 року № ____</w:t>
      </w:r>
    </w:p>
    <w:p w:rsidR="003F56F3" w:rsidRDefault="003F56F3">
      <w:pPr>
        <w:spacing w:after="0" w:line="360" w:lineRule="auto"/>
        <w:ind w:firstLine="5812"/>
        <w:rPr>
          <w:lang w:val="uk-UA"/>
        </w:rPr>
      </w:pPr>
    </w:p>
    <w:p w:rsidR="003F56F3" w:rsidRDefault="00B61E6C">
      <w:pPr>
        <w:spacing w:after="0" w:line="240" w:lineRule="auto"/>
        <w:jc w:val="center"/>
        <w:rPr>
          <w:b/>
          <w:sz w:val="28"/>
          <w:szCs w:val="28"/>
          <w:lang w:val="uk-UA"/>
        </w:rPr>
      </w:pPr>
      <w:r>
        <w:rPr>
          <w:b/>
          <w:sz w:val="28"/>
          <w:szCs w:val="28"/>
          <w:lang w:val="uk-UA"/>
        </w:rPr>
        <w:t xml:space="preserve">Середньостроковий план пріоритетних публічних </w:t>
      </w:r>
    </w:p>
    <w:p w:rsidR="003F56F3" w:rsidRDefault="00B61E6C">
      <w:pPr>
        <w:spacing w:after="0" w:line="240" w:lineRule="auto"/>
        <w:jc w:val="center"/>
        <w:rPr>
          <w:b/>
          <w:sz w:val="28"/>
          <w:szCs w:val="28"/>
          <w:lang w:val="uk-UA"/>
        </w:rPr>
      </w:pPr>
      <w:r>
        <w:rPr>
          <w:b/>
          <w:sz w:val="28"/>
          <w:szCs w:val="28"/>
          <w:lang w:val="uk-UA"/>
        </w:rPr>
        <w:t xml:space="preserve">інвестицій </w:t>
      </w:r>
      <w:proofErr w:type="spellStart"/>
      <w:r>
        <w:rPr>
          <w:b/>
          <w:sz w:val="28"/>
          <w:szCs w:val="28"/>
          <w:lang w:val="uk-UA"/>
        </w:rPr>
        <w:t>Поляницької</w:t>
      </w:r>
      <w:proofErr w:type="spellEnd"/>
      <w:r>
        <w:rPr>
          <w:b/>
          <w:sz w:val="28"/>
          <w:szCs w:val="28"/>
          <w:lang w:val="uk-UA"/>
        </w:rPr>
        <w:t xml:space="preserve"> сільської </w:t>
      </w:r>
    </w:p>
    <w:p w:rsidR="003F56F3" w:rsidRDefault="00B61E6C">
      <w:pPr>
        <w:spacing w:after="0" w:line="240" w:lineRule="auto"/>
        <w:jc w:val="center"/>
        <w:rPr>
          <w:b/>
          <w:sz w:val="28"/>
          <w:szCs w:val="28"/>
          <w:lang w:val="uk-UA"/>
        </w:rPr>
      </w:pPr>
      <w:r>
        <w:rPr>
          <w:b/>
          <w:sz w:val="28"/>
          <w:szCs w:val="28"/>
          <w:lang w:val="uk-UA"/>
        </w:rPr>
        <w:t>територіальної громади на 2027–2029 роки</w:t>
      </w:r>
    </w:p>
    <w:p w:rsidR="003F56F3" w:rsidRDefault="003F56F3">
      <w:pPr>
        <w:spacing w:after="0" w:line="240" w:lineRule="auto"/>
        <w:jc w:val="center"/>
        <w:rPr>
          <w:sz w:val="28"/>
          <w:szCs w:val="28"/>
          <w:lang w:val="uk-UA"/>
        </w:rPr>
      </w:pPr>
    </w:p>
    <w:p w:rsidR="003F56F3" w:rsidRDefault="00B61E6C">
      <w:pPr>
        <w:pStyle w:val="1"/>
        <w:spacing w:before="0" w:line="360" w:lineRule="auto"/>
        <w:jc w:val="center"/>
        <w:rPr>
          <w:rFonts w:ascii="Times New Roman" w:hAnsi="Times New Roman" w:cs="Times New Roman"/>
          <w:color w:val="auto"/>
          <w:lang w:val="uk-UA"/>
        </w:rPr>
      </w:pPr>
      <w:r>
        <w:rPr>
          <w:rFonts w:ascii="Times New Roman" w:hAnsi="Times New Roman" w:cs="Times New Roman"/>
          <w:color w:val="auto"/>
          <w:lang w:val="uk-UA"/>
        </w:rPr>
        <w:t>Загальна частина</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Середньостроковий план пріоритетних публічних інвестицій </w:t>
      </w:r>
      <w:proofErr w:type="spellStart"/>
      <w:r>
        <w:rPr>
          <w:rFonts w:cs="Times New Roman"/>
          <w:sz w:val="28"/>
          <w:szCs w:val="28"/>
          <w:lang w:val="uk-UA"/>
        </w:rPr>
        <w:t>Поляницької</w:t>
      </w:r>
      <w:proofErr w:type="spellEnd"/>
      <w:r>
        <w:rPr>
          <w:rFonts w:cs="Times New Roman"/>
          <w:sz w:val="28"/>
          <w:szCs w:val="28"/>
          <w:lang w:val="uk-UA"/>
        </w:rPr>
        <w:t xml:space="preserve"> сільської територіальної громади на 2027-2029 роки (далі - СПІ) розроблено відповідно до абзацу другого частини третьої статті </w:t>
      </w:r>
      <w:r>
        <w:rPr>
          <w:color w:val="000000"/>
          <w:sz w:val="28"/>
          <w:szCs w:val="28"/>
          <w:shd w:val="clear" w:color="auto" w:fill="FFFFFF"/>
        </w:rPr>
        <w:t> </w:t>
      </w:r>
      <w:r w:rsidRPr="00E629DE">
        <w:rPr>
          <w:color w:val="000000"/>
          <w:sz w:val="28"/>
          <w:szCs w:val="28"/>
          <w:shd w:val="clear" w:color="auto" w:fill="FFFFFF"/>
          <w:lang w:val="uk-UA"/>
        </w:rPr>
        <w:t>75</w:t>
      </w:r>
      <w:r w:rsidRPr="00E629DE">
        <w:rPr>
          <w:color w:val="000000"/>
          <w:sz w:val="28"/>
          <w:szCs w:val="28"/>
          <w:shd w:val="clear" w:color="auto" w:fill="FFFFFF"/>
          <w:vertAlign w:val="superscript"/>
          <w:lang w:val="uk-UA"/>
        </w:rPr>
        <w:t>-2</w:t>
      </w:r>
      <w:r>
        <w:rPr>
          <w:color w:val="000000"/>
          <w:sz w:val="28"/>
          <w:szCs w:val="28"/>
          <w:shd w:val="clear" w:color="auto" w:fill="FFFFFF"/>
          <w:vertAlign w:val="superscript"/>
          <w:lang w:val="uk-UA"/>
        </w:rPr>
        <w:t xml:space="preserve"> </w:t>
      </w:r>
      <w:r>
        <w:rPr>
          <w:rFonts w:cs="Times New Roman"/>
          <w:sz w:val="28"/>
          <w:szCs w:val="28"/>
          <w:lang w:val="uk-UA"/>
        </w:rPr>
        <w:t>Бюджетного кодексу України та з врахуванням положень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Nº294 (зі змінами), внесеними згідно з постановою КМУ Nº612 від 01.05.2026 року, наказом Мінекономіки № 7477 від 13.07.2026 року та листа Міністерства фінансів України № 05120-08-6/19836 від 14.07.2026 «Про особливості складання розрахунків до прогнозів місцевих бюджетів.</w:t>
      </w:r>
    </w:p>
    <w:p w:rsidR="003F56F3" w:rsidRDefault="00B61E6C">
      <w:pPr>
        <w:spacing w:after="0" w:line="240" w:lineRule="auto"/>
        <w:ind w:firstLine="720"/>
        <w:jc w:val="both"/>
        <w:rPr>
          <w:rFonts w:cs="Times New Roman"/>
          <w:sz w:val="28"/>
          <w:szCs w:val="28"/>
          <w:lang w:val="uk-UA"/>
        </w:rPr>
      </w:pPr>
      <w:proofErr w:type="spellStart"/>
      <w:r>
        <w:rPr>
          <w:rFonts w:cs="Times New Roman"/>
          <w:sz w:val="28"/>
          <w:szCs w:val="28"/>
          <w:lang w:val="uk-UA"/>
        </w:rPr>
        <w:t>Поляницька</w:t>
      </w:r>
      <w:proofErr w:type="spellEnd"/>
      <w:r>
        <w:rPr>
          <w:rFonts w:cs="Times New Roman"/>
          <w:sz w:val="28"/>
          <w:szCs w:val="28"/>
          <w:lang w:val="uk-UA"/>
        </w:rPr>
        <w:t xml:space="preserve"> сільська рада продовжує реалізацію реформи Управління публічними інвестиціями на місцевому рівні, ключовим етапом якої є середньострокове планування. СПІ формує основу для побудови ефективної та дієвої системи управління публічними інвестиціями,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Дозволяє спрямувати ресурси на найбільш важливі для суспільства публічні інвестиційні </w:t>
      </w:r>
      <w:proofErr w:type="spellStart"/>
      <w:r>
        <w:rPr>
          <w:rFonts w:cs="Times New Roman"/>
          <w:sz w:val="28"/>
          <w:szCs w:val="28"/>
          <w:lang w:val="uk-UA"/>
        </w:rPr>
        <w:t>проєкти</w:t>
      </w:r>
      <w:proofErr w:type="spellEnd"/>
      <w:r>
        <w:rPr>
          <w:rFonts w:cs="Times New Roman"/>
          <w:sz w:val="28"/>
          <w:szCs w:val="28"/>
          <w:lang w:val="uk-UA"/>
        </w:rPr>
        <w:t xml:space="preserve"> (далі - </w:t>
      </w:r>
      <w:proofErr w:type="spellStart"/>
      <w:r>
        <w:rPr>
          <w:rFonts w:cs="Times New Roman"/>
          <w:sz w:val="28"/>
          <w:szCs w:val="28"/>
          <w:lang w:val="uk-UA"/>
        </w:rPr>
        <w:t>проєкти</w:t>
      </w:r>
      <w:proofErr w:type="spellEnd"/>
      <w:r>
        <w:rPr>
          <w:rFonts w:cs="Times New Roman"/>
          <w:sz w:val="28"/>
          <w:szCs w:val="28"/>
          <w:lang w:val="uk-UA"/>
        </w:rPr>
        <w:t>).</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У процесі реалізації попереднього СПІ 2026-2028 рр. було забезпечено узгодження інвестиційних пріоритетів із документами стратегічного планування громади (Стратегією розвитку </w:t>
      </w:r>
      <w:proofErr w:type="spellStart"/>
      <w:r>
        <w:rPr>
          <w:rFonts w:cs="Times New Roman"/>
          <w:sz w:val="28"/>
          <w:szCs w:val="28"/>
          <w:lang w:val="uk-UA"/>
        </w:rPr>
        <w:t>Поляницької</w:t>
      </w:r>
      <w:proofErr w:type="spellEnd"/>
      <w:r>
        <w:rPr>
          <w:rFonts w:cs="Times New Roman"/>
          <w:sz w:val="28"/>
          <w:szCs w:val="28"/>
          <w:lang w:val="uk-UA"/>
        </w:rPr>
        <w:t xml:space="preserve"> територіальної громади до 2030 року), бюджетним плануванням, також запроваджено єдині підходи до оцінки </w:t>
      </w:r>
      <w:proofErr w:type="spellStart"/>
      <w:r>
        <w:rPr>
          <w:rFonts w:cs="Times New Roman"/>
          <w:sz w:val="28"/>
          <w:szCs w:val="28"/>
          <w:lang w:val="uk-UA"/>
        </w:rPr>
        <w:t>проєктів</w:t>
      </w:r>
      <w:proofErr w:type="spellEnd"/>
      <w:r>
        <w:rPr>
          <w:rFonts w:cs="Times New Roman"/>
          <w:sz w:val="28"/>
          <w:szCs w:val="28"/>
          <w:lang w:val="uk-UA"/>
        </w:rPr>
        <w:t>.</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Формування СПІ </w:t>
      </w:r>
      <w:proofErr w:type="spellStart"/>
      <w:r>
        <w:rPr>
          <w:rFonts w:cs="Times New Roman"/>
          <w:sz w:val="28"/>
          <w:szCs w:val="28"/>
          <w:lang w:val="uk-UA"/>
        </w:rPr>
        <w:t>Поляницької</w:t>
      </w:r>
      <w:proofErr w:type="spellEnd"/>
      <w:r>
        <w:rPr>
          <w:rFonts w:cs="Times New Roman"/>
          <w:sz w:val="28"/>
          <w:szCs w:val="28"/>
          <w:lang w:val="uk-UA"/>
        </w:rPr>
        <w:t xml:space="preserve"> територіальної громади здійснюється з урахуванням загальнодержавних та регіональних пріоритетів які, в свою чергу, визначаються на основі поєднання результатів секторального аналізу збитків і потреб громади, оцінки їх впливу на життєдіяльність населення та спроможність місцевого бюджету.</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Середньостроковий план визначає:</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наскрізні стратегічні цілі здійснення публічних інвестицій;</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пріоритетні галузі (сектори) для публічного інвестування;</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 </w:t>
      </w:r>
      <w:proofErr w:type="spellStart"/>
      <w:r>
        <w:rPr>
          <w:rFonts w:cs="Times New Roman"/>
          <w:sz w:val="28"/>
          <w:szCs w:val="28"/>
          <w:lang w:val="uk-UA"/>
        </w:rPr>
        <w:t>підсектори</w:t>
      </w:r>
      <w:proofErr w:type="spellEnd"/>
      <w:r>
        <w:rPr>
          <w:rFonts w:cs="Times New Roman"/>
          <w:sz w:val="28"/>
          <w:szCs w:val="28"/>
          <w:lang w:val="uk-UA"/>
        </w:rPr>
        <w:t xml:space="preserve"> галузей (секторів) для публічного інвестування;</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 основні напрями публічного інвестування, у тому числі за діючими </w:t>
      </w:r>
      <w:proofErr w:type="spellStart"/>
      <w:r>
        <w:rPr>
          <w:rFonts w:cs="Times New Roman"/>
          <w:sz w:val="28"/>
          <w:szCs w:val="28"/>
          <w:lang w:val="uk-UA"/>
        </w:rPr>
        <w:t>проєктами</w:t>
      </w:r>
      <w:proofErr w:type="spellEnd"/>
      <w:r>
        <w:rPr>
          <w:rFonts w:cs="Times New Roman"/>
          <w:sz w:val="28"/>
          <w:szCs w:val="28"/>
          <w:lang w:val="uk-UA"/>
        </w:rPr>
        <w:t xml:space="preserve"> та програмами, цільові показники цих напрямів в розрізі сфер державної </w:t>
      </w:r>
      <w:r>
        <w:rPr>
          <w:rFonts w:cs="Times New Roman"/>
          <w:sz w:val="28"/>
          <w:szCs w:val="28"/>
          <w:lang w:val="uk-UA"/>
        </w:rPr>
        <w:lastRenderedPageBreak/>
        <w:t>політики, регіонів і відповідний орієнтовний розподіл коштів за рахунок різних джерел фінансування.</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Сфера дії середньострокового плану охоплює публічні інвестиції, що спрямовані на реалізацію </w:t>
      </w:r>
      <w:proofErr w:type="spellStart"/>
      <w:r>
        <w:rPr>
          <w:rFonts w:cs="Times New Roman"/>
          <w:sz w:val="28"/>
          <w:szCs w:val="28"/>
          <w:lang w:val="uk-UA"/>
        </w:rPr>
        <w:t>проєктів</w:t>
      </w:r>
      <w:proofErr w:type="spellEnd"/>
      <w:r>
        <w:rPr>
          <w:rFonts w:cs="Times New Roman"/>
          <w:sz w:val="28"/>
          <w:szCs w:val="28"/>
          <w:lang w:val="uk-UA"/>
        </w:rPr>
        <w:t xml:space="preserve"> громади. Водночас не охоплює компенсації за пошкодження та знищення окремих категорій </w:t>
      </w:r>
      <w:proofErr w:type="spellStart"/>
      <w:r>
        <w:rPr>
          <w:rFonts w:cs="Times New Roman"/>
          <w:sz w:val="28"/>
          <w:szCs w:val="28"/>
          <w:lang w:val="uk-UA"/>
        </w:rPr>
        <w:t>обʼєктів</w:t>
      </w:r>
      <w:proofErr w:type="spellEnd"/>
      <w:r>
        <w:rPr>
          <w:rFonts w:cs="Times New Roman"/>
          <w:sz w:val="28"/>
          <w:szCs w:val="28"/>
          <w:lang w:val="uk-UA"/>
        </w:rPr>
        <w:t xml:space="preserve"> нерухомого майна внаслідок бойових дій, терористичних актів, диверсій, спричинених збройною агресією російської федерації проти України, а також гранти, програми підтримки бізнесу, фінансування від міжнародних 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rsidR="003F56F3" w:rsidRDefault="003F56F3">
      <w:pPr>
        <w:pStyle w:val="1"/>
        <w:spacing w:before="0" w:line="360" w:lineRule="auto"/>
        <w:jc w:val="center"/>
        <w:rPr>
          <w:rFonts w:ascii="Times New Roman" w:hAnsi="Times New Roman" w:cs="Times New Roman"/>
          <w:color w:val="auto"/>
          <w:lang w:val="uk-UA"/>
        </w:rPr>
      </w:pPr>
    </w:p>
    <w:p w:rsidR="003F56F3" w:rsidRDefault="00B61E6C">
      <w:pPr>
        <w:pStyle w:val="1"/>
        <w:spacing w:before="0" w:line="360" w:lineRule="auto"/>
        <w:jc w:val="center"/>
        <w:rPr>
          <w:rFonts w:ascii="Times New Roman" w:hAnsi="Times New Roman" w:cs="Times New Roman"/>
          <w:color w:val="auto"/>
          <w:lang w:val="uk-UA"/>
        </w:rPr>
      </w:pPr>
      <w:r>
        <w:rPr>
          <w:rFonts w:ascii="Times New Roman" w:hAnsi="Times New Roman" w:cs="Times New Roman"/>
          <w:color w:val="auto"/>
          <w:lang w:val="uk-UA"/>
        </w:rPr>
        <w:t>Описова частина</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СПІ розроблено </w:t>
      </w:r>
      <w:proofErr w:type="spellStart"/>
      <w:r>
        <w:rPr>
          <w:rFonts w:cs="Times New Roman"/>
          <w:sz w:val="28"/>
          <w:szCs w:val="28"/>
          <w:lang w:val="uk-UA"/>
        </w:rPr>
        <w:t>Поляницькою</w:t>
      </w:r>
      <w:proofErr w:type="spellEnd"/>
      <w:r>
        <w:rPr>
          <w:rFonts w:cs="Times New Roman"/>
          <w:sz w:val="28"/>
          <w:szCs w:val="28"/>
          <w:lang w:val="uk-UA"/>
        </w:rPr>
        <w:t xml:space="preserve"> </w:t>
      </w:r>
      <w:proofErr w:type="spellStart"/>
      <w:r>
        <w:rPr>
          <w:rFonts w:cs="Times New Roman"/>
          <w:sz w:val="28"/>
          <w:szCs w:val="28"/>
          <w:lang w:val="uk-UA"/>
        </w:rPr>
        <w:t>сільскою</w:t>
      </w:r>
      <w:proofErr w:type="spellEnd"/>
      <w:r>
        <w:rPr>
          <w:rFonts w:cs="Times New Roman"/>
          <w:sz w:val="28"/>
          <w:szCs w:val="28"/>
          <w:lang w:val="uk-UA"/>
        </w:rPr>
        <w:t xml:space="preserve"> територіальною громадою на підставі пропозицій структурних підрозділів відповідно до цілей і завдань, визначених документами стратегічного планування, у межах орієнтовного граничного сукупного обсягу публічних інвестицій на середньостроковий період, а саме 2027-2029 роки.</w:t>
      </w:r>
    </w:p>
    <w:p w:rsidR="003F56F3" w:rsidRDefault="003F56F3">
      <w:pPr>
        <w:spacing w:after="0" w:line="240" w:lineRule="auto"/>
        <w:ind w:firstLine="720"/>
        <w:jc w:val="both"/>
        <w:rPr>
          <w:rFonts w:cs="Times New Roman"/>
          <w:sz w:val="28"/>
          <w:szCs w:val="28"/>
          <w:lang w:val="uk-UA"/>
        </w:rPr>
      </w:pPr>
    </w:p>
    <w:p w:rsidR="003F56F3" w:rsidRDefault="00B61E6C">
      <w:pPr>
        <w:spacing w:after="0" w:line="360" w:lineRule="auto"/>
        <w:jc w:val="center"/>
        <w:rPr>
          <w:rFonts w:cs="Times New Roman"/>
          <w:i/>
          <w:iCs/>
          <w:sz w:val="28"/>
          <w:szCs w:val="28"/>
          <w:lang w:val="uk-UA"/>
        </w:rPr>
      </w:pPr>
      <w:r>
        <w:rPr>
          <w:rFonts w:cs="Times New Roman"/>
          <w:i/>
          <w:iCs/>
          <w:sz w:val="28"/>
          <w:szCs w:val="28"/>
          <w:lang w:val="uk-UA"/>
        </w:rPr>
        <w:t>Наскрізні стратегічні цілі здійснення публічних інвестицій</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Наскрізні стратегічні цілі мають ключове значення для досягнення сталого розвитку громади, їх реалізація передбачає забезпечення безпекового середовища, відновлення та модернізацію інфраструктури, раціональне використання енергоресурсів, впровадження енергоефективних технологій, адаптацію інфраструктури до нових викликів та захисту навколишнього природного середовища, врахування принципів рівності, </w:t>
      </w:r>
      <w:proofErr w:type="spellStart"/>
      <w:r>
        <w:rPr>
          <w:rFonts w:cs="Times New Roman"/>
          <w:sz w:val="28"/>
          <w:szCs w:val="28"/>
          <w:lang w:val="uk-UA"/>
        </w:rPr>
        <w:t>безбарʼєрності</w:t>
      </w:r>
      <w:proofErr w:type="spellEnd"/>
      <w:r>
        <w:rPr>
          <w:rFonts w:cs="Times New Roman"/>
          <w:sz w:val="28"/>
          <w:szCs w:val="28"/>
          <w:lang w:val="uk-UA"/>
        </w:rPr>
        <w:t xml:space="preserve">, доступності для всіх категорій </w:t>
      </w:r>
      <w:proofErr w:type="spellStart"/>
      <w:r>
        <w:rPr>
          <w:rFonts w:cs="Times New Roman"/>
          <w:sz w:val="28"/>
          <w:szCs w:val="28"/>
          <w:lang w:val="uk-UA"/>
        </w:rPr>
        <w:t>населения</w:t>
      </w:r>
      <w:proofErr w:type="spellEnd"/>
      <w:r>
        <w:rPr>
          <w:rFonts w:cs="Times New Roman"/>
          <w:sz w:val="28"/>
          <w:szCs w:val="28"/>
          <w:lang w:val="uk-UA"/>
        </w:rPr>
        <w:t>, включаючи осіб з інвалідністю, осіб з різними функціональними порушеннями, а також людей похилого віку, незалежно від їх статі та соціального статусу.</w:t>
      </w:r>
    </w:p>
    <w:p w:rsidR="003F56F3" w:rsidRDefault="003F56F3">
      <w:pPr>
        <w:spacing w:after="0" w:line="240" w:lineRule="auto"/>
        <w:ind w:firstLine="720"/>
        <w:jc w:val="both"/>
        <w:rPr>
          <w:rFonts w:cs="Times New Roman"/>
          <w:sz w:val="28"/>
          <w:szCs w:val="28"/>
          <w:lang w:val="uk-UA"/>
        </w:rPr>
      </w:pPr>
    </w:p>
    <w:p w:rsidR="003F56F3" w:rsidRDefault="00B61E6C">
      <w:pPr>
        <w:spacing w:after="0" w:line="360" w:lineRule="auto"/>
        <w:jc w:val="center"/>
        <w:rPr>
          <w:rFonts w:cs="Times New Roman"/>
          <w:i/>
          <w:iCs/>
          <w:sz w:val="28"/>
          <w:szCs w:val="28"/>
          <w:lang w:val="uk-UA"/>
        </w:rPr>
      </w:pPr>
      <w:r>
        <w:rPr>
          <w:rFonts w:cs="Times New Roman"/>
          <w:i/>
          <w:iCs/>
          <w:sz w:val="28"/>
          <w:szCs w:val="28"/>
          <w:lang w:val="uk-UA"/>
        </w:rPr>
        <w:t>Пріоритетні галузі (сектори) для публічного інвестування</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Пріоритетні галузі (сектори) для публічного інвестування, що містяться в середньостроковому плані є ключовими для територіальної громади та саме на них спрямовуватимуться публічні інвестиції на середньостроковий період.</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Пріоритетні галузі (сектори) для публічного інвестування були відібрані, та впорядковані на період дії середньострокового плану, враховуючи потреби, пріоритети та спроможності громади, а також вимоги Бюджетного кодексу України щодо спрямування не менше 70 відсотків обсягу публічних інвестицій на продовження (завершення) реалізації розпочатих </w:t>
      </w:r>
      <w:proofErr w:type="spellStart"/>
      <w:r>
        <w:rPr>
          <w:rFonts w:cs="Times New Roman"/>
          <w:sz w:val="28"/>
          <w:szCs w:val="28"/>
          <w:lang w:val="uk-UA"/>
        </w:rPr>
        <w:t>проєктів</w:t>
      </w:r>
      <w:proofErr w:type="spellEnd"/>
      <w:r>
        <w:rPr>
          <w:rFonts w:cs="Times New Roman"/>
          <w:sz w:val="28"/>
          <w:szCs w:val="28"/>
          <w:lang w:val="uk-UA"/>
        </w:rPr>
        <w:t xml:space="preserve"> та програм.</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З метою досягнення стратегічних цілей розвитку громади та забезпечення реалізації завдань спрямованих на розвиток інфраструктури, стимулювання соціально-економічного розвитку і покращення якості життя громадян протягом </w:t>
      </w:r>
      <w:r>
        <w:rPr>
          <w:rFonts w:cs="Times New Roman"/>
          <w:sz w:val="28"/>
          <w:szCs w:val="28"/>
          <w:lang w:val="uk-UA"/>
        </w:rPr>
        <w:lastRenderedPageBreak/>
        <w:t>2027-2029 років Середньостроковим планом пропонується визначити 10 ключових секторів (галузей) для публічного інвестування:</w:t>
      </w:r>
    </w:p>
    <w:p w:rsidR="003F56F3" w:rsidRDefault="00B61E6C">
      <w:pPr>
        <w:pStyle w:val="aff"/>
        <w:numPr>
          <w:ilvl w:val="0"/>
          <w:numId w:val="7"/>
        </w:numPr>
        <w:spacing w:after="0" w:line="240" w:lineRule="auto"/>
        <w:rPr>
          <w:rFonts w:cs="Times New Roman"/>
          <w:sz w:val="28"/>
          <w:szCs w:val="28"/>
          <w:lang w:val="uk-UA"/>
        </w:rPr>
      </w:pPr>
      <w:r>
        <w:rPr>
          <w:rFonts w:cs="Times New Roman"/>
          <w:sz w:val="28"/>
          <w:szCs w:val="28"/>
          <w:lang w:val="uk-UA"/>
        </w:rPr>
        <w:t>Громадська безпека</w:t>
      </w:r>
    </w:p>
    <w:p w:rsidR="003F56F3" w:rsidRDefault="00B61E6C">
      <w:pPr>
        <w:pStyle w:val="aff"/>
        <w:numPr>
          <w:ilvl w:val="0"/>
          <w:numId w:val="7"/>
        </w:numPr>
        <w:spacing w:after="0" w:line="240" w:lineRule="auto"/>
        <w:rPr>
          <w:rFonts w:cs="Times New Roman"/>
          <w:sz w:val="28"/>
          <w:szCs w:val="28"/>
          <w:lang w:val="uk-UA"/>
        </w:rPr>
      </w:pPr>
      <w:r>
        <w:rPr>
          <w:rFonts w:cs="Times New Roman"/>
          <w:sz w:val="28"/>
          <w:szCs w:val="28"/>
          <w:lang w:val="uk-UA"/>
        </w:rPr>
        <w:t>Муніципальна інфраструктура та послуги</w:t>
      </w:r>
    </w:p>
    <w:p w:rsidR="003F56F3" w:rsidRDefault="00B61E6C">
      <w:pPr>
        <w:pStyle w:val="aff"/>
        <w:numPr>
          <w:ilvl w:val="0"/>
          <w:numId w:val="7"/>
        </w:numPr>
        <w:spacing w:after="0" w:line="240" w:lineRule="auto"/>
        <w:rPr>
          <w:rFonts w:cs="Times New Roman"/>
          <w:sz w:val="28"/>
          <w:szCs w:val="28"/>
          <w:lang w:val="uk-UA"/>
        </w:rPr>
      </w:pPr>
      <w:r>
        <w:rPr>
          <w:rFonts w:cs="Times New Roman"/>
          <w:sz w:val="28"/>
          <w:szCs w:val="28"/>
          <w:lang w:val="uk-UA"/>
        </w:rPr>
        <w:t>Охорона здоров’я</w:t>
      </w:r>
    </w:p>
    <w:p w:rsidR="003F56F3" w:rsidRDefault="00B61E6C">
      <w:pPr>
        <w:pStyle w:val="aff"/>
        <w:numPr>
          <w:ilvl w:val="0"/>
          <w:numId w:val="7"/>
        </w:numPr>
        <w:spacing w:after="0" w:line="240" w:lineRule="auto"/>
        <w:rPr>
          <w:rFonts w:cs="Times New Roman"/>
          <w:sz w:val="28"/>
          <w:szCs w:val="28"/>
          <w:lang w:val="uk-UA"/>
        </w:rPr>
      </w:pPr>
      <w:r>
        <w:rPr>
          <w:rFonts w:cs="Times New Roman"/>
          <w:sz w:val="28"/>
          <w:szCs w:val="28"/>
          <w:lang w:val="uk-UA"/>
        </w:rPr>
        <w:t>Освіта і наука</w:t>
      </w:r>
    </w:p>
    <w:p w:rsidR="003F56F3" w:rsidRDefault="00B61E6C">
      <w:pPr>
        <w:pStyle w:val="aff"/>
        <w:numPr>
          <w:ilvl w:val="0"/>
          <w:numId w:val="7"/>
        </w:numPr>
        <w:spacing w:after="0" w:line="240" w:lineRule="auto"/>
        <w:rPr>
          <w:rFonts w:cs="Times New Roman"/>
          <w:sz w:val="28"/>
          <w:szCs w:val="28"/>
          <w:lang w:val="uk-UA"/>
        </w:rPr>
      </w:pPr>
      <w:r>
        <w:rPr>
          <w:rFonts w:cs="Times New Roman"/>
          <w:sz w:val="28"/>
          <w:szCs w:val="28"/>
          <w:lang w:val="uk-UA"/>
        </w:rPr>
        <w:t>Енергетика</w:t>
      </w:r>
    </w:p>
    <w:p w:rsidR="003F56F3" w:rsidRDefault="00B61E6C">
      <w:pPr>
        <w:pStyle w:val="aff"/>
        <w:numPr>
          <w:ilvl w:val="0"/>
          <w:numId w:val="7"/>
        </w:numPr>
        <w:spacing w:after="0" w:line="240" w:lineRule="auto"/>
        <w:rPr>
          <w:rFonts w:cs="Times New Roman"/>
          <w:sz w:val="28"/>
          <w:szCs w:val="28"/>
          <w:lang w:val="uk-UA"/>
        </w:rPr>
      </w:pPr>
      <w:r>
        <w:rPr>
          <w:rFonts w:cs="Times New Roman"/>
          <w:sz w:val="28"/>
          <w:szCs w:val="28"/>
          <w:lang w:val="uk-UA"/>
        </w:rPr>
        <w:t>Спорт та фізичне виховання</w:t>
      </w:r>
    </w:p>
    <w:p w:rsidR="003F56F3" w:rsidRDefault="00B61E6C">
      <w:pPr>
        <w:pStyle w:val="aff"/>
        <w:numPr>
          <w:ilvl w:val="0"/>
          <w:numId w:val="7"/>
        </w:numPr>
        <w:spacing w:after="0" w:line="240" w:lineRule="auto"/>
        <w:rPr>
          <w:rFonts w:cs="Times New Roman"/>
          <w:sz w:val="28"/>
          <w:szCs w:val="28"/>
          <w:lang w:val="uk-UA"/>
        </w:rPr>
      </w:pPr>
      <w:r>
        <w:rPr>
          <w:rFonts w:cs="Times New Roman"/>
          <w:sz w:val="28"/>
          <w:szCs w:val="28"/>
          <w:lang w:val="uk-UA"/>
        </w:rPr>
        <w:t>Культура та інформація</w:t>
      </w:r>
    </w:p>
    <w:p w:rsidR="003F56F3" w:rsidRDefault="00B61E6C">
      <w:pPr>
        <w:pStyle w:val="aff"/>
        <w:numPr>
          <w:ilvl w:val="0"/>
          <w:numId w:val="7"/>
        </w:numPr>
        <w:spacing w:after="0" w:line="240" w:lineRule="auto"/>
        <w:jc w:val="both"/>
        <w:rPr>
          <w:rFonts w:cs="Times New Roman"/>
          <w:sz w:val="28"/>
          <w:szCs w:val="28"/>
          <w:lang w:val="uk-UA"/>
        </w:rPr>
      </w:pPr>
      <w:r>
        <w:rPr>
          <w:rFonts w:cs="Times New Roman"/>
          <w:sz w:val="28"/>
          <w:szCs w:val="28"/>
          <w:lang w:val="uk-UA"/>
        </w:rPr>
        <w:t>Довкілля</w:t>
      </w:r>
    </w:p>
    <w:p w:rsidR="003F56F3" w:rsidRDefault="00B61E6C">
      <w:pPr>
        <w:pStyle w:val="aff"/>
        <w:numPr>
          <w:ilvl w:val="0"/>
          <w:numId w:val="7"/>
        </w:numPr>
        <w:spacing w:after="0" w:line="240" w:lineRule="auto"/>
        <w:jc w:val="both"/>
        <w:rPr>
          <w:rFonts w:cs="Times New Roman"/>
          <w:sz w:val="28"/>
          <w:szCs w:val="28"/>
          <w:lang w:val="uk-UA"/>
        </w:rPr>
      </w:pPr>
      <w:r>
        <w:rPr>
          <w:rFonts w:cs="Times New Roman"/>
          <w:sz w:val="28"/>
          <w:szCs w:val="28"/>
          <w:lang w:val="uk-UA"/>
        </w:rPr>
        <w:t>Транспорт</w:t>
      </w:r>
    </w:p>
    <w:p w:rsidR="003F56F3" w:rsidRDefault="00B61E6C">
      <w:pPr>
        <w:pStyle w:val="aff"/>
        <w:numPr>
          <w:ilvl w:val="0"/>
          <w:numId w:val="7"/>
        </w:numPr>
        <w:spacing w:after="0" w:line="240" w:lineRule="auto"/>
        <w:jc w:val="both"/>
        <w:rPr>
          <w:rFonts w:cs="Times New Roman"/>
          <w:sz w:val="28"/>
          <w:szCs w:val="28"/>
          <w:lang w:val="uk-UA"/>
        </w:rPr>
      </w:pPr>
      <w:r>
        <w:rPr>
          <w:rFonts w:cs="Times New Roman"/>
          <w:sz w:val="28"/>
          <w:szCs w:val="28"/>
          <w:lang w:val="uk-UA"/>
        </w:rPr>
        <w:t xml:space="preserve">Публічні послуги і пов'язана з ними </w:t>
      </w:r>
      <w:proofErr w:type="spellStart"/>
      <w:r>
        <w:rPr>
          <w:rFonts w:cs="Times New Roman"/>
          <w:sz w:val="28"/>
          <w:szCs w:val="28"/>
          <w:lang w:val="uk-UA"/>
        </w:rPr>
        <w:t>цифровізація</w:t>
      </w:r>
      <w:proofErr w:type="spellEnd"/>
    </w:p>
    <w:p w:rsidR="003F56F3" w:rsidRDefault="00B61E6C">
      <w:pPr>
        <w:spacing w:after="0" w:line="240" w:lineRule="auto"/>
        <w:ind w:firstLine="360"/>
        <w:jc w:val="both"/>
        <w:rPr>
          <w:rFonts w:cs="Times New Roman"/>
          <w:sz w:val="28"/>
          <w:szCs w:val="28"/>
          <w:lang w:val="uk-UA"/>
        </w:rPr>
      </w:pPr>
      <w:r>
        <w:rPr>
          <w:rFonts w:cs="Times New Roman"/>
          <w:sz w:val="28"/>
          <w:szCs w:val="28"/>
          <w:lang w:val="uk-UA"/>
        </w:rPr>
        <w:t xml:space="preserve">Пріоритетні сектори сформовано з урахуванням потреб, пріоритетів та </w:t>
      </w:r>
      <w:proofErr w:type="spellStart"/>
      <w:r>
        <w:rPr>
          <w:rFonts w:cs="Times New Roman"/>
          <w:sz w:val="28"/>
          <w:szCs w:val="28"/>
          <w:lang w:val="uk-UA"/>
        </w:rPr>
        <w:t>спроможностей</w:t>
      </w:r>
      <w:proofErr w:type="spellEnd"/>
      <w:r>
        <w:rPr>
          <w:rFonts w:cs="Times New Roman"/>
          <w:sz w:val="28"/>
          <w:szCs w:val="28"/>
          <w:lang w:val="uk-UA"/>
        </w:rPr>
        <w:t xml:space="preserve"> громади, а також необхідності продовження та завершення розпочатих </w:t>
      </w:r>
      <w:proofErr w:type="spellStart"/>
      <w:r>
        <w:rPr>
          <w:rFonts w:cs="Times New Roman"/>
          <w:sz w:val="28"/>
          <w:szCs w:val="28"/>
          <w:lang w:val="uk-UA"/>
        </w:rPr>
        <w:t>проєктів</w:t>
      </w:r>
      <w:proofErr w:type="spellEnd"/>
      <w:r>
        <w:rPr>
          <w:rFonts w:cs="Times New Roman"/>
          <w:sz w:val="28"/>
          <w:szCs w:val="28"/>
          <w:lang w:val="uk-UA"/>
        </w:rPr>
        <w:t>.</w:t>
      </w:r>
    </w:p>
    <w:p w:rsidR="003F56F3" w:rsidRDefault="003F56F3">
      <w:pPr>
        <w:spacing w:after="0" w:line="240" w:lineRule="auto"/>
        <w:ind w:firstLine="360"/>
        <w:jc w:val="both"/>
        <w:rPr>
          <w:rFonts w:cs="Times New Roman"/>
          <w:sz w:val="28"/>
          <w:szCs w:val="28"/>
          <w:lang w:val="uk-UA"/>
        </w:rPr>
      </w:pPr>
    </w:p>
    <w:p w:rsidR="003F56F3" w:rsidRDefault="00B61E6C">
      <w:pPr>
        <w:pStyle w:val="1"/>
        <w:spacing w:before="0" w:line="240" w:lineRule="auto"/>
        <w:jc w:val="center"/>
        <w:rPr>
          <w:rFonts w:ascii="Times New Roman" w:hAnsi="Times New Roman" w:cs="Times New Roman"/>
          <w:color w:val="auto"/>
          <w:lang w:val="uk-UA"/>
        </w:rPr>
      </w:pPr>
      <w:r>
        <w:rPr>
          <w:rFonts w:ascii="Times New Roman" w:hAnsi="Times New Roman" w:cs="Times New Roman"/>
          <w:color w:val="auto"/>
          <w:lang w:val="uk-UA"/>
        </w:rPr>
        <w:t>Основні напрями публічного інвестування</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Основні напрями публічного інвестування відповідають завданням Стратегії розвитку </w:t>
      </w:r>
      <w:proofErr w:type="spellStart"/>
      <w:r>
        <w:rPr>
          <w:rFonts w:cs="Times New Roman"/>
          <w:sz w:val="28"/>
          <w:szCs w:val="28"/>
          <w:lang w:val="uk-UA"/>
        </w:rPr>
        <w:t>Поляницької</w:t>
      </w:r>
      <w:proofErr w:type="spellEnd"/>
      <w:r>
        <w:rPr>
          <w:rFonts w:cs="Times New Roman"/>
          <w:sz w:val="28"/>
          <w:szCs w:val="28"/>
          <w:lang w:val="uk-UA"/>
        </w:rPr>
        <w:t xml:space="preserve"> територіальної громади на період до 2030 року. Перелік напрямів, </w:t>
      </w:r>
      <w:proofErr w:type="spellStart"/>
      <w:r>
        <w:rPr>
          <w:rFonts w:cs="Times New Roman"/>
          <w:sz w:val="28"/>
          <w:szCs w:val="28"/>
          <w:lang w:val="uk-UA"/>
        </w:rPr>
        <w:t>підсекторів</w:t>
      </w:r>
      <w:proofErr w:type="spellEnd"/>
      <w:r>
        <w:rPr>
          <w:rFonts w:cs="Times New Roman"/>
          <w:sz w:val="28"/>
          <w:szCs w:val="28"/>
          <w:lang w:val="uk-UA"/>
        </w:rPr>
        <w:t xml:space="preserve">, цільових показників та </w:t>
      </w:r>
      <w:proofErr w:type="spellStart"/>
      <w:r>
        <w:rPr>
          <w:rFonts w:cs="Times New Roman"/>
          <w:sz w:val="28"/>
          <w:szCs w:val="28"/>
          <w:lang w:val="uk-UA"/>
        </w:rPr>
        <w:t>проєктів</w:t>
      </w:r>
      <w:proofErr w:type="spellEnd"/>
      <w:r>
        <w:rPr>
          <w:rFonts w:cs="Times New Roman"/>
          <w:sz w:val="28"/>
          <w:szCs w:val="28"/>
          <w:lang w:val="uk-UA"/>
        </w:rPr>
        <w:t xml:space="preserve"> наведено у додатках до Середньострокового плану.</w:t>
      </w:r>
    </w:p>
    <w:p w:rsidR="003F56F3" w:rsidRDefault="003F56F3">
      <w:pPr>
        <w:spacing w:after="0" w:line="240" w:lineRule="auto"/>
        <w:ind w:firstLine="720"/>
        <w:jc w:val="both"/>
        <w:rPr>
          <w:rFonts w:cs="Times New Roman"/>
          <w:sz w:val="28"/>
          <w:szCs w:val="28"/>
          <w:lang w:val="uk-UA"/>
        </w:rPr>
      </w:pPr>
    </w:p>
    <w:p w:rsidR="003F56F3" w:rsidRDefault="00B61E6C">
      <w:pPr>
        <w:spacing w:after="0" w:line="240" w:lineRule="auto"/>
        <w:jc w:val="center"/>
        <w:rPr>
          <w:rFonts w:cs="Times New Roman"/>
          <w:sz w:val="28"/>
          <w:szCs w:val="28"/>
          <w:lang w:val="uk-UA"/>
        </w:rPr>
      </w:pPr>
      <w:r>
        <w:rPr>
          <w:rFonts w:cs="Times New Roman"/>
          <w:b/>
          <w:sz w:val="28"/>
          <w:szCs w:val="28"/>
          <w:lang w:val="uk-UA"/>
        </w:rPr>
        <w:t>Стратегічні пріоритети та принципи формування плану</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Формування пріоритетів публічних інвестицій здійснюється з урахуванням Стратегії розвитку </w:t>
      </w:r>
      <w:proofErr w:type="spellStart"/>
      <w:r>
        <w:rPr>
          <w:rFonts w:cs="Times New Roman"/>
          <w:sz w:val="28"/>
          <w:szCs w:val="28"/>
          <w:lang w:val="uk-UA"/>
        </w:rPr>
        <w:t>Поляницької</w:t>
      </w:r>
      <w:proofErr w:type="spellEnd"/>
      <w:r>
        <w:rPr>
          <w:rFonts w:cs="Times New Roman"/>
          <w:sz w:val="28"/>
          <w:szCs w:val="28"/>
          <w:lang w:val="uk-UA"/>
        </w:rPr>
        <w:t xml:space="preserve"> територіальної громади на період до 2030 року, потреб громади, необхідності завершення розпочатих </w:t>
      </w:r>
      <w:proofErr w:type="spellStart"/>
      <w:r>
        <w:rPr>
          <w:rFonts w:cs="Times New Roman"/>
          <w:sz w:val="28"/>
          <w:szCs w:val="28"/>
          <w:lang w:val="uk-UA"/>
        </w:rPr>
        <w:t>проєктів</w:t>
      </w:r>
      <w:proofErr w:type="spellEnd"/>
      <w:r>
        <w:rPr>
          <w:rFonts w:cs="Times New Roman"/>
          <w:sz w:val="28"/>
          <w:szCs w:val="28"/>
          <w:lang w:val="uk-UA"/>
        </w:rPr>
        <w:t xml:space="preserve"> та забезпечення належного функціонування об’єктів публічної інфраструктури.</w:t>
      </w:r>
    </w:p>
    <w:p w:rsidR="003F56F3" w:rsidRDefault="00B61E6C">
      <w:pPr>
        <w:spacing w:after="0" w:line="240" w:lineRule="auto"/>
        <w:ind w:firstLine="720"/>
        <w:jc w:val="both"/>
        <w:rPr>
          <w:rFonts w:cs="Times New Roman"/>
          <w:sz w:val="28"/>
          <w:szCs w:val="28"/>
          <w:lang w:val="uk-UA"/>
        </w:rPr>
      </w:pPr>
      <w:r>
        <w:rPr>
          <w:rFonts w:cs="Times New Roman"/>
          <w:sz w:val="28"/>
          <w:szCs w:val="28"/>
          <w:lang w:val="uk-UA"/>
        </w:rPr>
        <w:t xml:space="preserve">Під час підготовки Середньострокового плану враховано </w:t>
      </w:r>
      <w:proofErr w:type="spellStart"/>
      <w:r>
        <w:rPr>
          <w:rFonts w:cs="Times New Roman"/>
          <w:sz w:val="28"/>
          <w:szCs w:val="28"/>
          <w:lang w:val="uk-UA"/>
        </w:rPr>
        <w:t>проєкти</w:t>
      </w:r>
      <w:proofErr w:type="spellEnd"/>
      <w:r>
        <w:rPr>
          <w:rFonts w:cs="Times New Roman"/>
          <w:sz w:val="28"/>
          <w:szCs w:val="28"/>
          <w:lang w:val="uk-UA"/>
        </w:rPr>
        <w:t xml:space="preserve"> та напрями, наведені у попередньому Середньостроковому плані на 2026–2028 роки, із перенесенням їх до нового планового періоду в частині, що стосується 2027–2029 років.</w:t>
      </w:r>
    </w:p>
    <w:p w:rsidR="003F56F3" w:rsidRDefault="003F56F3">
      <w:pPr>
        <w:spacing w:after="0" w:line="240" w:lineRule="auto"/>
        <w:ind w:firstLine="720"/>
        <w:jc w:val="both"/>
        <w:rPr>
          <w:rFonts w:cs="Times New Roman"/>
          <w:sz w:val="28"/>
          <w:szCs w:val="28"/>
          <w:lang w:val="uk-UA"/>
        </w:rPr>
      </w:pPr>
    </w:p>
    <w:p w:rsidR="003F56F3" w:rsidRDefault="00B61E6C">
      <w:pPr>
        <w:pStyle w:val="1"/>
        <w:spacing w:before="0" w:line="360" w:lineRule="auto"/>
        <w:jc w:val="both"/>
        <w:rPr>
          <w:rFonts w:ascii="Times New Roman" w:hAnsi="Times New Roman" w:cs="Times New Roman"/>
          <w:color w:val="auto"/>
          <w:lang w:val="uk-UA"/>
        </w:rPr>
      </w:pPr>
      <w:r>
        <w:rPr>
          <w:rFonts w:ascii="Times New Roman" w:hAnsi="Times New Roman" w:cs="Times New Roman"/>
          <w:color w:val="auto"/>
          <w:lang w:val="uk-UA"/>
        </w:rPr>
        <w:t>Фінансова структура публічних інвестицій</w:t>
      </w:r>
    </w:p>
    <w:p w:rsidR="003F56F3" w:rsidRDefault="003F56F3">
      <w:pPr>
        <w:spacing w:after="0" w:line="360" w:lineRule="auto"/>
        <w:jc w:val="both"/>
        <w:rPr>
          <w:rFonts w:cs="Times New Roman"/>
          <w:sz w:val="28"/>
          <w:szCs w:val="28"/>
          <w:lang w:val="uk-UA"/>
        </w:rPr>
      </w:pPr>
    </w:p>
    <w:tbl>
      <w:tblPr>
        <w:tblStyle w:val="af4"/>
        <w:tblW w:w="0" w:type="auto"/>
        <w:jc w:val="center"/>
        <w:tblLook w:val="04A0" w:firstRow="1" w:lastRow="0" w:firstColumn="1" w:lastColumn="0" w:noHBand="0" w:noVBand="1"/>
      </w:tblPr>
      <w:tblGrid>
        <w:gridCol w:w="2396"/>
        <w:gridCol w:w="1881"/>
        <w:gridCol w:w="1881"/>
        <w:gridCol w:w="1881"/>
        <w:gridCol w:w="1923"/>
      </w:tblGrid>
      <w:tr w:rsidR="003F56F3">
        <w:trPr>
          <w:jc w:val="center"/>
        </w:trPr>
        <w:tc>
          <w:tcPr>
            <w:tcW w:w="1994" w:type="dxa"/>
            <w:vAlign w:val="center"/>
          </w:tcPr>
          <w:p w:rsidR="003F56F3" w:rsidRDefault="00B61E6C">
            <w:pPr>
              <w:spacing w:after="0" w:line="240" w:lineRule="auto"/>
              <w:rPr>
                <w:rFonts w:cs="Times New Roman"/>
                <w:sz w:val="28"/>
                <w:szCs w:val="28"/>
                <w:lang w:val="uk-UA"/>
              </w:rPr>
            </w:pPr>
            <w:r>
              <w:rPr>
                <w:rFonts w:cs="Times New Roman"/>
                <w:b/>
                <w:sz w:val="28"/>
                <w:szCs w:val="28"/>
                <w:lang w:val="uk-UA"/>
              </w:rPr>
              <w:t>Орієнтовні граничні показники</w:t>
            </w:r>
          </w:p>
        </w:tc>
        <w:tc>
          <w:tcPr>
            <w:tcW w:w="1994" w:type="dxa"/>
            <w:vAlign w:val="center"/>
          </w:tcPr>
          <w:p w:rsidR="003F56F3" w:rsidRDefault="00B61E6C">
            <w:pPr>
              <w:spacing w:after="0" w:line="240" w:lineRule="auto"/>
              <w:rPr>
                <w:rFonts w:cs="Times New Roman"/>
                <w:b/>
                <w:sz w:val="28"/>
                <w:szCs w:val="28"/>
                <w:lang w:val="uk-UA"/>
              </w:rPr>
            </w:pPr>
            <w:r>
              <w:rPr>
                <w:rFonts w:cs="Times New Roman"/>
                <w:b/>
                <w:sz w:val="28"/>
                <w:szCs w:val="28"/>
                <w:lang w:val="uk-UA"/>
              </w:rPr>
              <w:t>2027 рік</w:t>
            </w:r>
          </w:p>
          <w:p w:rsidR="003F56F3" w:rsidRDefault="00B61E6C">
            <w:pPr>
              <w:spacing w:after="0" w:line="240" w:lineRule="auto"/>
              <w:rPr>
                <w:rFonts w:cs="Times New Roman"/>
                <w:sz w:val="28"/>
                <w:szCs w:val="28"/>
                <w:lang w:val="uk-UA"/>
              </w:rPr>
            </w:pPr>
            <w:r>
              <w:rPr>
                <w:rFonts w:cs="Times New Roman"/>
                <w:b/>
                <w:sz w:val="28"/>
                <w:szCs w:val="28"/>
                <w:lang w:val="uk-UA"/>
              </w:rPr>
              <w:t>(прогноз)</w:t>
            </w:r>
          </w:p>
        </w:tc>
        <w:tc>
          <w:tcPr>
            <w:tcW w:w="1994" w:type="dxa"/>
            <w:vAlign w:val="center"/>
          </w:tcPr>
          <w:p w:rsidR="003F56F3" w:rsidRDefault="00B61E6C">
            <w:pPr>
              <w:spacing w:after="0" w:line="240" w:lineRule="auto"/>
              <w:rPr>
                <w:rFonts w:cs="Times New Roman"/>
                <w:b/>
                <w:sz w:val="28"/>
                <w:szCs w:val="28"/>
                <w:lang w:val="uk-UA"/>
              </w:rPr>
            </w:pPr>
            <w:r>
              <w:rPr>
                <w:rFonts w:cs="Times New Roman"/>
                <w:b/>
                <w:sz w:val="28"/>
                <w:szCs w:val="28"/>
                <w:lang w:val="uk-UA"/>
              </w:rPr>
              <w:t>2028 рік</w:t>
            </w:r>
          </w:p>
          <w:p w:rsidR="003F56F3" w:rsidRDefault="00B61E6C">
            <w:pPr>
              <w:spacing w:after="0" w:line="240" w:lineRule="auto"/>
              <w:rPr>
                <w:rFonts w:cs="Times New Roman"/>
                <w:sz w:val="28"/>
                <w:szCs w:val="28"/>
                <w:lang w:val="uk-UA"/>
              </w:rPr>
            </w:pPr>
            <w:r>
              <w:rPr>
                <w:rFonts w:cs="Times New Roman"/>
                <w:b/>
                <w:sz w:val="28"/>
                <w:szCs w:val="28"/>
                <w:lang w:val="uk-UA"/>
              </w:rPr>
              <w:t>(прогноз)</w:t>
            </w:r>
          </w:p>
        </w:tc>
        <w:tc>
          <w:tcPr>
            <w:tcW w:w="1994" w:type="dxa"/>
            <w:vAlign w:val="center"/>
          </w:tcPr>
          <w:p w:rsidR="003F56F3" w:rsidRDefault="00B61E6C">
            <w:pPr>
              <w:spacing w:after="0" w:line="240" w:lineRule="auto"/>
              <w:rPr>
                <w:rFonts w:cs="Times New Roman"/>
                <w:b/>
                <w:sz w:val="28"/>
                <w:szCs w:val="28"/>
                <w:lang w:val="uk-UA"/>
              </w:rPr>
            </w:pPr>
            <w:r>
              <w:rPr>
                <w:rFonts w:cs="Times New Roman"/>
                <w:b/>
                <w:sz w:val="28"/>
                <w:szCs w:val="28"/>
                <w:lang w:val="uk-UA"/>
              </w:rPr>
              <w:t>2029 рік</w:t>
            </w:r>
          </w:p>
          <w:p w:rsidR="003F56F3" w:rsidRDefault="00B61E6C">
            <w:pPr>
              <w:spacing w:after="0" w:line="240" w:lineRule="auto"/>
              <w:rPr>
                <w:rFonts w:cs="Times New Roman"/>
                <w:sz w:val="28"/>
                <w:szCs w:val="28"/>
                <w:lang w:val="uk-UA"/>
              </w:rPr>
            </w:pPr>
            <w:r>
              <w:rPr>
                <w:rFonts w:cs="Times New Roman"/>
                <w:b/>
                <w:sz w:val="28"/>
                <w:szCs w:val="28"/>
                <w:lang w:val="uk-UA"/>
              </w:rPr>
              <w:t>(прогноз)</w:t>
            </w:r>
          </w:p>
        </w:tc>
        <w:tc>
          <w:tcPr>
            <w:tcW w:w="1994" w:type="dxa"/>
            <w:vAlign w:val="center"/>
          </w:tcPr>
          <w:p w:rsidR="003F56F3" w:rsidRDefault="00B61E6C">
            <w:pPr>
              <w:spacing w:after="0" w:line="240" w:lineRule="auto"/>
              <w:rPr>
                <w:rFonts w:cs="Times New Roman"/>
                <w:sz w:val="28"/>
                <w:szCs w:val="28"/>
                <w:lang w:val="uk-UA"/>
              </w:rPr>
            </w:pPr>
            <w:r>
              <w:rPr>
                <w:rFonts w:cs="Times New Roman"/>
                <w:b/>
                <w:sz w:val="28"/>
                <w:szCs w:val="28"/>
                <w:lang w:val="uk-UA"/>
              </w:rPr>
              <w:t xml:space="preserve">Разом2027-2029 роки (прогнози) </w:t>
            </w:r>
          </w:p>
        </w:tc>
      </w:tr>
      <w:tr w:rsidR="003F56F3">
        <w:trPr>
          <w:jc w:val="center"/>
        </w:trPr>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Орієнтовний граничний сукупний обсяг публічних інвестицій</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195 000 000,00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312 500 000,00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lastRenderedPageBreak/>
              <w:t>Кошти місцевого бюджету</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21 000 000,00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27 000 000,00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 xml:space="preserve">Співфінансування заходів щодо підготовки та реалізації публічних інвестиційних </w:t>
            </w:r>
            <w:proofErr w:type="spellStart"/>
            <w:r>
              <w:rPr>
                <w:rFonts w:cs="Times New Roman"/>
                <w:sz w:val="28"/>
                <w:szCs w:val="28"/>
                <w:lang w:val="uk-UA"/>
              </w:rPr>
              <w:t>проєктів</w:t>
            </w:r>
            <w:proofErr w:type="spellEnd"/>
            <w:r>
              <w:rPr>
                <w:rFonts w:cs="Times New Roman"/>
                <w:sz w:val="28"/>
                <w:szCs w:val="28"/>
                <w:lang w:val="uk-UA"/>
              </w:rPr>
              <w:t xml:space="preserve"> та програм</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12 100 000,00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16 000 000,00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Міжбюджетні трансферти з державного бюджету</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149 000 000,00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259 500 000,00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Міжбюджетні трансферти з інших місцевих бюджетів</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16 000 000,00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18 000 000,00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Місцеві запозичення</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Інші джерела (грантові кошти)</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9 000 000,00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8 000 000,00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1994" w:type="dxa"/>
            <w:vAlign w:val="center"/>
          </w:tcPr>
          <w:p w:rsidR="003F56F3" w:rsidRDefault="003F56F3">
            <w:pPr>
              <w:spacing w:after="0" w:line="240" w:lineRule="auto"/>
              <w:rPr>
                <w:rFonts w:cs="Times New Roman"/>
                <w:sz w:val="28"/>
                <w:szCs w:val="28"/>
                <w:lang w:val="uk-UA"/>
              </w:rPr>
            </w:pPr>
          </w:p>
        </w:tc>
        <w:tc>
          <w:tcPr>
            <w:tcW w:w="1994" w:type="dxa"/>
            <w:vAlign w:val="center"/>
          </w:tcPr>
          <w:p w:rsidR="003F56F3" w:rsidRDefault="003F56F3">
            <w:pPr>
              <w:spacing w:after="0" w:line="240" w:lineRule="auto"/>
              <w:rPr>
                <w:rFonts w:cs="Times New Roman"/>
                <w:sz w:val="28"/>
                <w:szCs w:val="28"/>
                <w:lang w:val="uk-UA"/>
              </w:rPr>
            </w:pPr>
          </w:p>
        </w:tc>
        <w:tc>
          <w:tcPr>
            <w:tcW w:w="1994" w:type="dxa"/>
            <w:vAlign w:val="center"/>
          </w:tcPr>
          <w:p w:rsidR="003F56F3" w:rsidRDefault="003F56F3">
            <w:pPr>
              <w:spacing w:after="0" w:line="240" w:lineRule="auto"/>
              <w:rPr>
                <w:rFonts w:cs="Times New Roman"/>
                <w:sz w:val="28"/>
                <w:szCs w:val="28"/>
                <w:lang w:val="uk-UA"/>
              </w:rPr>
            </w:pPr>
          </w:p>
        </w:tc>
        <w:tc>
          <w:tcPr>
            <w:tcW w:w="1994" w:type="dxa"/>
            <w:vAlign w:val="center"/>
          </w:tcPr>
          <w:p w:rsidR="003F56F3" w:rsidRDefault="003F56F3">
            <w:pPr>
              <w:spacing w:after="0" w:line="240" w:lineRule="auto"/>
              <w:rPr>
                <w:rFonts w:cs="Times New Roman"/>
                <w:sz w:val="28"/>
                <w:szCs w:val="28"/>
                <w:lang w:val="uk-UA"/>
              </w:rPr>
            </w:pPr>
          </w:p>
        </w:tc>
        <w:tc>
          <w:tcPr>
            <w:tcW w:w="1994" w:type="dxa"/>
            <w:vAlign w:val="center"/>
          </w:tcPr>
          <w:p w:rsidR="003F56F3" w:rsidRDefault="003F56F3">
            <w:pPr>
              <w:spacing w:after="0" w:line="240" w:lineRule="auto"/>
              <w:rPr>
                <w:rFonts w:cs="Times New Roman"/>
                <w:sz w:val="28"/>
                <w:szCs w:val="28"/>
                <w:lang w:val="uk-UA"/>
              </w:rPr>
            </w:pPr>
          </w:p>
        </w:tc>
      </w:tr>
    </w:tbl>
    <w:p w:rsidR="003F56F3" w:rsidRDefault="003F56F3">
      <w:pPr>
        <w:pStyle w:val="1"/>
        <w:spacing w:before="0"/>
        <w:rPr>
          <w:rFonts w:ascii="Times New Roman" w:hAnsi="Times New Roman" w:cs="Times New Roman"/>
          <w:color w:val="auto"/>
          <w:lang w:val="uk-UA"/>
        </w:rPr>
      </w:pPr>
    </w:p>
    <w:p w:rsidR="003F56F3" w:rsidRDefault="00B61E6C">
      <w:pPr>
        <w:pStyle w:val="1"/>
        <w:spacing w:before="0"/>
        <w:rPr>
          <w:rFonts w:ascii="Times New Roman" w:hAnsi="Times New Roman" w:cs="Times New Roman"/>
          <w:color w:val="auto"/>
          <w:lang w:val="uk-UA"/>
        </w:rPr>
      </w:pPr>
      <w:r>
        <w:rPr>
          <w:rFonts w:ascii="Times New Roman" w:hAnsi="Times New Roman" w:cs="Times New Roman"/>
          <w:color w:val="auto"/>
          <w:lang w:val="uk-UA"/>
        </w:rPr>
        <w:t>Граничний розподіл публічних інвестицій</w:t>
      </w:r>
    </w:p>
    <w:tbl>
      <w:tblPr>
        <w:tblStyle w:val="af4"/>
        <w:tblW w:w="0" w:type="auto"/>
        <w:jc w:val="center"/>
        <w:tblLook w:val="04A0" w:firstRow="1" w:lastRow="0" w:firstColumn="1" w:lastColumn="0" w:noHBand="0" w:noVBand="1"/>
      </w:tblPr>
      <w:tblGrid>
        <w:gridCol w:w="2126"/>
        <w:gridCol w:w="1885"/>
        <w:gridCol w:w="1885"/>
        <w:gridCol w:w="1885"/>
        <w:gridCol w:w="2181"/>
      </w:tblGrid>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b/>
                <w:sz w:val="28"/>
                <w:szCs w:val="28"/>
                <w:lang w:val="uk-UA"/>
              </w:rPr>
              <w:t xml:space="preserve">Галузь (сектор) / </w:t>
            </w:r>
            <w:proofErr w:type="spellStart"/>
            <w:r>
              <w:rPr>
                <w:rFonts w:cs="Times New Roman"/>
                <w:b/>
                <w:sz w:val="28"/>
                <w:szCs w:val="28"/>
                <w:lang w:val="uk-UA"/>
              </w:rPr>
              <w:t>підсектор</w:t>
            </w:r>
            <w:proofErr w:type="spellEnd"/>
          </w:p>
        </w:tc>
        <w:tc>
          <w:tcPr>
            <w:tcW w:w="1994" w:type="dxa"/>
            <w:vAlign w:val="center"/>
          </w:tcPr>
          <w:p w:rsidR="003F56F3" w:rsidRDefault="00B61E6C">
            <w:pPr>
              <w:spacing w:after="0" w:line="240" w:lineRule="auto"/>
              <w:rPr>
                <w:rFonts w:cs="Times New Roman"/>
                <w:b/>
                <w:sz w:val="28"/>
                <w:szCs w:val="28"/>
                <w:lang w:val="uk-UA"/>
              </w:rPr>
            </w:pPr>
            <w:r>
              <w:rPr>
                <w:rFonts w:cs="Times New Roman"/>
                <w:b/>
                <w:sz w:val="28"/>
                <w:szCs w:val="28"/>
                <w:lang w:val="uk-UA"/>
              </w:rPr>
              <w:t>2027 рік</w:t>
            </w:r>
          </w:p>
          <w:p w:rsidR="003F56F3" w:rsidRDefault="00B61E6C">
            <w:pPr>
              <w:spacing w:after="0" w:line="240" w:lineRule="auto"/>
              <w:rPr>
                <w:rFonts w:cs="Times New Roman"/>
                <w:sz w:val="28"/>
                <w:szCs w:val="28"/>
                <w:lang w:val="uk-UA"/>
              </w:rPr>
            </w:pPr>
            <w:r>
              <w:rPr>
                <w:rFonts w:cs="Times New Roman"/>
                <w:b/>
                <w:sz w:val="28"/>
                <w:szCs w:val="28"/>
                <w:lang w:val="uk-UA"/>
              </w:rPr>
              <w:t>(прогноз)</w:t>
            </w:r>
          </w:p>
        </w:tc>
        <w:tc>
          <w:tcPr>
            <w:tcW w:w="1994" w:type="dxa"/>
            <w:vAlign w:val="center"/>
          </w:tcPr>
          <w:p w:rsidR="003F56F3" w:rsidRDefault="00B61E6C">
            <w:pPr>
              <w:spacing w:after="0" w:line="240" w:lineRule="auto"/>
              <w:rPr>
                <w:rFonts w:cs="Times New Roman"/>
                <w:b/>
                <w:sz w:val="28"/>
                <w:szCs w:val="28"/>
                <w:lang w:val="uk-UA"/>
              </w:rPr>
            </w:pPr>
            <w:r>
              <w:rPr>
                <w:rFonts w:cs="Times New Roman"/>
                <w:b/>
                <w:sz w:val="28"/>
                <w:szCs w:val="28"/>
                <w:lang w:val="uk-UA"/>
              </w:rPr>
              <w:t>2028 рік</w:t>
            </w:r>
          </w:p>
          <w:p w:rsidR="003F56F3" w:rsidRDefault="00B61E6C">
            <w:pPr>
              <w:spacing w:after="0" w:line="240" w:lineRule="auto"/>
              <w:rPr>
                <w:rFonts w:cs="Times New Roman"/>
                <w:sz w:val="28"/>
                <w:szCs w:val="28"/>
                <w:lang w:val="uk-UA"/>
              </w:rPr>
            </w:pPr>
            <w:r>
              <w:rPr>
                <w:rFonts w:cs="Times New Roman"/>
                <w:b/>
                <w:sz w:val="28"/>
                <w:szCs w:val="28"/>
                <w:lang w:val="uk-UA"/>
              </w:rPr>
              <w:t>(прогноз)</w:t>
            </w:r>
          </w:p>
        </w:tc>
        <w:tc>
          <w:tcPr>
            <w:tcW w:w="1994" w:type="dxa"/>
            <w:vAlign w:val="center"/>
          </w:tcPr>
          <w:p w:rsidR="003F56F3" w:rsidRDefault="00B61E6C">
            <w:pPr>
              <w:spacing w:after="0" w:line="240" w:lineRule="auto"/>
              <w:rPr>
                <w:rFonts w:cs="Times New Roman"/>
                <w:b/>
                <w:sz w:val="28"/>
                <w:szCs w:val="28"/>
                <w:lang w:val="uk-UA"/>
              </w:rPr>
            </w:pPr>
            <w:r>
              <w:rPr>
                <w:rFonts w:cs="Times New Roman"/>
                <w:b/>
                <w:sz w:val="28"/>
                <w:szCs w:val="28"/>
                <w:lang w:val="uk-UA"/>
              </w:rPr>
              <w:t>2029 рік</w:t>
            </w:r>
          </w:p>
          <w:p w:rsidR="003F56F3" w:rsidRDefault="00B61E6C">
            <w:pPr>
              <w:spacing w:after="0" w:line="240" w:lineRule="auto"/>
              <w:rPr>
                <w:rFonts w:cs="Times New Roman"/>
                <w:sz w:val="28"/>
                <w:szCs w:val="28"/>
                <w:lang w:val="uk-UA"/>
              </w:rPr>
            </w:pPr>
            <w:r>
              <w:rPr>
                <w:rFonts w:cs="Times New Roman"/>
                <w:b/>
                <w:sz w:val="28"/>
                <w:szCs w:val="28"/>
                <w:lang w:val="uk-UA"/>
              </w:rPr>
              <w:t>(прогноз)</w:t>
            </w:r>
          </w:p>
        </w:tc>
        <w:tc>
          <w:tcPr>
            <w:tcW w:w="1994" w:type="dxa"/>
            <w:vAlign w:val="center"/>
          </w:tcPr>
          <w:p w:rsidR="003F56F3" w:rsidRDefault="00B61E6C">
            <w:pPr>
              <w:spacing w:after="0" w:line="240" w:lineRule="auto"/>
              <w:rPr>
                <w:rFonts w:cs="Times New Roman"/>
                <w:sz w:val="28"/>
                <w:szCs w:val="28"/>
                <w:lang w:val="uk-UA"/>
              </w:rPr>
            </w:pPr>
            <w:r>
              <w:rPr>
                <w:rFonts w:cs="Times New Roman"/>
                <w:b/>
                <w:sz w:val="28"/>
                <w:szCs w:val="28"/>
                <w:lang w:val="uk-UA"/>
              </w:rPr>
              <w:t>Разом 2027–2029 роки(прогнози)</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Громадська безпека / цивільний захист</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1 692 600,00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Муніципальна інфраструктура / водопостачання та водовідведення</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2 000 000,00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Транспорт / автомобільний транспорт та дорожнє господарство</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10 207 400,00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14 900 000,00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lastRenderedPageBreak/>
              <w:t>Освіта і наука / шкільна освіта</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8 100 000,00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10 100 000,00</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 xml:space="preserve">Публічні послуги та </w:t>
            </w:r>
            <w:proofErr w:type="spellStart"/>
            <w:r>
              <w:rPr>
                <w:rFonts w:cs="Times New Roman"/>
                <w:sz w:val="28"/>
                <w:szCs w:val="28"/>
                <w:lang w:val="uk-UA"/>
              </w:rPr>
              <w:t>цифровізація</w:t>
            </w:r>
            <w:proofErr w:type="spellEnd"/>
            <w:r>
              <w:rPr>
                <w:rFonts w:cs="Times New Roman"/>
                <w:sz w:val="28"/>
                <w:szCs w:val="28"/>
                <w:lang w:val="uk-UA"/>
              </w:rPr>
              <w:t xml:space="preserve"> / державні адміністративні послуги</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Культура та інформація</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Енергетика</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Довкілля</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Охорона здоров’я</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r w:rsidR="003F56F3">
        <w:trPr>
          <w:jc w:val="center"/>
        </w:trPr>
        <w:tc>
          <w:tcPr>
            <w:tcW w:w="2126"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Спорт та фізичне виховання</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c>
          <w:tcPr>
            <w:tcW w:w="1994" w:type="dxa"/>
            <w:vAlign w:val="center"/>
          </w:tcPr>
          <w:p w:rsidR="003F56F3" w:rsidRDefault="00B61E6C">
            <w:pPr>
              <w:spacing w:after="0" w:line="240" w:lineRule="auto"/>
              <w:rPr>
                <w:rFonts w:cs="Times New Roman"/>
                <w:sz w:val="28"/>
                <w:szCs w:val="28"/>
                <w:lang w:val="uk-UA"/>
              </w:rPr>
            </w:pPr>
            <w:r>
              <w:rPr>
                <w:rFonts w:cs="Times New Roman"/>
                <w:sz w:val="28"/>
                <w:szCs w:val="28"/>
                <w:lang w:val="uk-UA"/>
              </w:rPr>
              <w:t>—</w:t>
            </w:r>
          </w:p>
        </w:tc>
      </w:tr>
    </w:tbl>
    <w:p w:rsidR="003F56F3" w:rsidRDefault="003F56F3">
      <w:pPr>
        <w:pStyle w:val="1"/>
        <w:spacing w:before="0"/>
        <w:rPr>
          <w:rFonts w:ascii="Times New Roman" w:hAnsi="Times New Roman" w:cs="Times New Roman"/>
          <w:color w:val="auto"/>
          <w:lang w:val="uk-UA"/>
        </w:rPr>
      </w:pPr>
    </w:p>
    <w:p w:rsidR="003F56F3" w:rsidRDefault="00B61E6C">
      <w:pPr>
        <w:pStyle w:val="1"/>
        <w:spacing w:before="0"/>
        <w:jc w:val="center"/>
        <w:rPr>
          <w:rFonts w:cs="Times New Roman"/>
          <w:lang w:val="uk-UA"/>
        </w:rPr>
      </w:pPr>
      <w:r>
        <w:rPr>
          <w:rFonts w:ascii="Times New Roman" w:hAnsi="Times New Roman" w:cs="Times New Roman"/>
          <w:color w:val="auto"/>
          <w:lang w:val="uk-UA"/>
        </w:rPr>
        <w:t>Підсумки та перспективи</w:t>
      </w:r>
    </w:p>
    <w:p w:rsidR="003F56F3" w:rsidRDefault="00B61E6C">
      <w:pPr>
        <w:spacing w:after="0"/>
        <w:ind w:firstLine="720"/>
        <w:jc w:val="both"/>
        <w:rPr>
          <w:rFonts w:cs="Times New Roman"/>
          <w:sz w:val="28"/>
          <w:szCs w:val="28"/>
          <w:lang w:val="uk-UA"/>
        </w:rPr>
      </w:pPr>
      <w:r>
        <w:rPr>
          <w:rFonts w:cs="Times New Roman"/>
          <w:sz w:val="28"/>
          <w:szCs w:val="28"/>
          <w:lang w:val="uk-UA"/>
        </w:rPr>
        <w:t>Середньостроковий план є документом місцевого рівня, що формує основу для якісно нового підходу до управління публічними інвестиціями громади.</w:t>
      </w:r>
    </w:p>
    <w:p w:rsidR="003F56F3" w:rsidRDefault="00B61E6C">
      <w:pPr>
        <w:spacing w:after="0"/>
        <w:ind w:firstLine="720"/>
        <w:jc w:val="both"/>
        <w:rPr>
          <w:rFonts w:cs="Times New Roman"/>
          <w:sz w:val="28"/>
          <w:szCs w:val="28"/>
          <w:lang w:val="uk-UA"/>
        </w:rPr>
      </w:pPr>
      <w:r>
        <w:rPr>
          <w:rFonts w:cs="Times New Roman"/>
          <w:sz w:val="28"/>
          <w:szCs w:val="28"/>
          <w:lang w:val="uk-UA"/>
        </w:rPr>
        <w:t xml:space="preserve">Визначення наскрізних стратегічних цілей, узгодження з наявними стратегічними документами, продовження та завершення розпочатих </w:t>
      </w:r>
      <w:proofErr w:type="spellStart"/>
      <w:r>
        <w:rPr>
          <w:rFonts w:cs="Times New Roman"/>
          <w:sz w:val="28"/>
          <w:szCs w:val="28"/>
          <w:lang w:val="uk-UA"/>
        </w:rPr>
        <w:t>проєктів</w:t>
      </w:r>
      <w:proofErr w:type="spellEnd"/>
      <w:r>
        <w:rPr>
          <w:rFonts w:cs="Times New Roman"/>
          <w:sz w:val="28"/>
          <w:szCs w:val="28"/>
          <w:lang w:val="uk-UA"/>
        </w:rPr>
        <w:t xml:space="preserve"> і 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громади.</w:t>
      </w:r>
    </w:p>
    <w:p w:rsidR="003F56F3" w:rsidRDefault="00B61E6C">
      <w:pPr>
        <w:spacing w:after="0"/>
        <w:ind w:firstLine="720"/>
        <w:jc w:val="both"/>
        <w:rPr>
          <w:rFonts w:cs="Times New Roman"/>
          <w:sz w:val="28"/>
          <w:szCs w:val="28"/>
          <w:lang w:val="uk-UA"/>
        </w:rPr>
      </w:pPr>
      <w:r>
        <w:rPr>
          <w:rFonts w:cs="Times New Roman"/>
          <w:sz w:val="28"/>
          <w:szCs w:val="28"/>
          <w:lang w:val="uk-UA"/>
        </w:rPr>
        <w:t>Це сприятиме ефективному використанню як попередньо вкладених, так і поточних публічних інвестицій, а також створить чітке розуміння пріоритетних сфер, що потребують місцевої підтримки у середньостроковому періоді.</w:t>
      </w:r>
    </w:p>
    <w:p w:rsidR="003F56F3" w:rsidRDefault="00B61E6C">
      <w:pPr>
        <w:spacing w:after="0"/>
        <w:ind w:firstLine="720"/>
        <w:jc w:val="both"/>
        <w:rPr>
          <w:rFonts w:cs="Times New Roman"/>
          <w:sz w:val="28"/>
          <w:szCs w:val="28"/>
          <w:lang w:val="uk-UA"/>
        </w:rPr>
      </w:pPr>
      <w:r>
        <w:rPr>
          <w:rFonts w:cs="Times New Roman"/>
          <w:sz w:val="28"/>
          <w:szCs w:val="28"/>
          <w:lang w:val="uk-UA"/>
        </w:rPr>
        <w:t xml:space="preserve">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w:t>
      </w:r>
      <w:proofErr w:type="spellStart"/>
      <w:r>
        <w:rPr>
          <w:rFonts w:cs="Times New Roman"/>
          <w:sz w:val="28"/>
          <w:szCs w:val="28"/>
          <w:lang w:val="uk-UA"/>
        </w:rPr>
        <w:t>проєктів</w:t>
      </w:r>
      <w:proofErr w:type="spellEnd"/>
      <w:r>
        <w:rPr>
          <w:rFonts w:cs="Times New Roman"/>
          <w:sz w:val="28"/>
          <w:szCs w:val="28"/>
          <w:lang w:val="uk-UA"/>
        </w:rPr>
        <w:t xml:space="preserve"> та програм, а також формування єдиного проектного портфеля публічних інвестицій і галузевих (секторальних) проектних портфелів громади.</w:t>
      </w:r>
    </w:p>
    <w:p w:rsidR="003F56F3" w:rsidRDefault="00B61E6C">
      <w:pPr>
        <w:spacing w:after="0"/>
        <w:ind w:firstLine="720"/>
        <w:jc w:val="both"/>
        <w:rPr>
          <w:rFonts w:cs="Times New Roman"/>
          <w:sz w:val="28"/>
          <w:szCs w:val="28"/>
          <w:lang w:val="uk-UA"/>
        </w:rPr>
      </w:pPr>
      <w:r>
        <w:rPr>
          <w:rFonts w:cs="Times New Roman"/>
          <w:sz w:val="28"/>
          <w:szCs w:val="28"/>
          <w:lang w:val="uk-UA"/>
        </w:rPr>
        <w:t xml:space="preserve">Підготовка </w:t>
      </w:r>
      <w:proofErr w:type="spellStart"/>
      <w:r>
        <w:rPr>
          <w:rFonts w:cs="Times New Roman"/>
          <w:sz w:val="28"/>
          <w:szCs w:val="28"/>
          <w:lang w:val="uk-UA"/>
        </w:rPr>
        <w:t>проєктів</w:t>
      </w:r>
      <w:proofErr w:type="spellEnd"/>
      <w:r>
        <w:rPr>
          <w:rFonts w:cs="Times New Roman"/>
          <w:sz w:val="28"/>
          <w:szCs w:val="28"/>
          <w:lang w:val="uk-UA"/>
        </w:rPr>
        <w:t xml:space="preserve"> та програм передбачає </w:t>
      </w:r>
      <w:proofErr w:type="spellStart"/>
      <w:r>
        <w:rPr>
          <w:rFonts w:cs="Times New Roman"/>
          <w:sz w:val="28"/>
          <w:szCs w:val="28"/>
          <w:lang w:val="uk-UA"/>
        </w:rPr>
        <w:t>обовʼязкове</w:t>
      </w:r>
      <w:proofErr w:type="spellEnd"/>
      <w:r>
        <w:rPr>
          <w:rFonts w:cs="Times New Roman"/>
          <w:sz w:val="28"/>
          <w:szCs w:val="28"/>
          <w:lang w:val="uk-UA"/>
        </w:rPr>
        <w:t xml:space="preserve"> визначення напряму</w:t>
      </w:r>
    </w:p>
    <w:p w:rsidR="003F56F3" w:rsidRDefault="00B61E6C">
      <w:pPr>
        <w:spacing w:after="0"/>
        <w:jc w:val="both"/>
        <w:rPr>
          <w:rFonts w:cs="Times New Roman"/>
          <w:sz w:val="28"/>
          <w:szCs w:val="28"/>
          <w:lang w:val="uk-UA"/>
        </w:rPr>
      </w:pPr>
      <w:r>
        <w:rPr>
          <w:rFonts w:cs="Times New Roman"/>
          <w:sz w:val="28"/>
          <w:szCs w:val="28"/>
          <w:lang w:val="uk-UA"/>
        </w:rPr>
        <w:t xml:space="preserve">публічного інвестування у відповідній галузі (секторі), з яким </w:t>
      </w:r>
      <w:proofErr w:type="spellStart"/>
      <w:r>
        <w:rPr>
          <w:rFonts w:cs="Times New Roman"/>
          <w:sz w:val="28"/>
          <w:szCs w:val="28"/>
          <w:lang w:val="uk-UA"/>
        </w:rPr>
        <w:t>повʼязаний</w:t>
      </w:r>
      <w:proofErr w:type="spellEnd"/>
      <w:r>
        <w:rPr>
          <w:rFonts w:cs="Times New Roman"/>
          <w:sz w:val="28"/>
          <w:szCs w:val="28"/>
          <w:lang w:val="uk-UA"/>
        </w:rPr>
        <w:t xml:space="preserve"> </w:t>
      </w:r>
      <w:proofErr w:type="spellStart"/>
      <w:r>
        <w:rPr>
          <w:rFonts w:cs="Times New Roman"/>
          <w:sz w:val="28"/>
          <w:szCs w:val="28"/>
          <w:lang w:val="uk-UA"/>
        </w:rPr>
        <w:t>проєкт</w:t>
      </w:r>
      <w:proofErr w:type="spellEnd"/>
      <w:r>
        <w:rPr>
          <w:rFonts w:cs="Times New Roman"/>
          <w:sz w:val="28"/>
          <w:szCs w:val="28"/>
          <w:lang w:val="uk-UA"/>
        </w:rPr>
        <w:t xml:space="preserve"> чи програма, а також узгодження мети та цілей </w:t>
      </w:r>
      <w:proofErr w:type="spellStart"/>
      <w:r>
        <w:rPr>
          <w:rFonts w:cs="Times New Roman"/>
          <w:sz w:val="28"/>
          <w:szCs w:val="28"/>
          <w:lang w:val="uk-UA"/>
        </w:rPr>
        <w:t>проєкту</w:t>
      </w:r>
      <w:proofErr w:type="spellEnd"/>
      <w:r>
        <w:rPr>
          <w:rFonts w:cs="Times New Roman"/>
          <w:sz w:val="28"/>
          <w:szCs w:val="28"/>
          <w:lang w:val="uk-UA"/>
        </w:rPr>
        <w:t xml:space="preserve"> з таким напрямом.</w:t>
      </w:r>
    </w:p>
    <w:p w:rsidR="003F56F3" w:rsidRDefault="00B61E6C">
      <w:pPr>
        <w:spacing w:after="0"/>
        <w:ind w:firstLine="720"/>
        <w:jc w:val="both"/>
        <w:rPr>
          <w:rFonts w:cs="Times New Roman"/>
          <w:sz w:val="28"/>
          <w:szCs w:val="28"/>
          <w:lang w:val="uk-UA"/>
        </w:rPr>
      </w:pPr>
      <w:r>
        <w:rPr>
          <w:rFonts w:cs="Times New Roman"/>
          <w:sz w:val="28"/>
          <w:szCs w:val="28"/>
          <w:lang w:val="uk-UA"/>
        </w:rPr>
        <w:t xml:space="preserve">Оцінка </w:t>
      </w:r>
      <w:proofErr w:type="spellStart"/>
      <w:r>
        <w:rPr>
          <w:rFonts w:cs="Times New Roman"/>
          <w:sz w:val="28"/>
          <w:szCs w:val="28"/>
          <w:lang w:val="uk-UA"/>
        </w:rPr>
        <w:t>проєктів</w:t>
      </w:r>
      <w:proofErr w:type="spellEnd"/>
      <w:r>
        <w:rPr>
          <w:rFonts w:cs="Times New Roman"/>
          <w:sz w:val="28"/>
          <w:szCs w:val="28"/>
          <w:lang w:val="uk-UA"/>
        </w:rPr>
        <w:t xml:space="preserve"> та програм включає оцінку відповідності (скринінг), галузеву (секторальну) оцінку та експертну оцінку, що передбачає аналіз ряду показників, </w:t>
      </w:r>
      <w:proofErr w:type="spellStart"/>
      <w:r>
        <w:rPr>
          <w:rFonts w:cs="Times New Roman"/>
          <w:sz w:val="28"/>
          <w:szCs w:val="28"/>
          <w:lang w:val="uk-UA"/>
        </w:rPr>
        <w:t>повʼязаних</w:t>
      </w:r>
      <w:proofErr w:type="spellEnd"/>
      <w:r>
        <w:rPr>
          <w:rFonts w:cs="Times New Roman"/>
          <w:sz w:val="28"/>
          <w:szCs w:val="28"/>
          <w:lang w:val="uk-UA"/>
        </w:rPr>
        <w:t xml:space="preserve"> із напрямами публічного інвестування відповідних галузей (секторів).</w:t>
      </w:r>
    </w:p>
    <w:p w:rsidR="003F56F3" w:rsidRDefault="00B61E6C">
      <w:pPr>
        <w:spacing w:after="0"/>
        <w:ind w:firstLine="720"/>
        <w:jc w:val="both"/>
        <w:rPr>
          <w:rFonts w:cs="Times New Roman"/>
          <w:sz w:val="28"/>
          <w:szCs w:val="28"/>
          <w:lang w:val="uk-UA"/>
        </w:rPr>
      </w:pPr>
      <w:r>
        <w:rPr>
          <w:rFonts w:cs="Times New Roman"/>
          <w:sz w:val="28"/>
          <w:szCs w:val="28"/>
          <w:lang w:val="uk-UA"/>
        </w:rPr>
        <w:lastRenderedPageBreak/>
        <w:t xml:space="preserve">В подальшому лише ті </w:t>
      </w:r>
      <w:proofErr w:type="spellStart"/>
      <w:r>
        <w:rPr>
          <w:rFonts w:cs="Times New Roman"/>
          <w:sz w:val="28"/>
          <w:szCs w:val="28"/>
          <w:lang w:val="uk-UA"/>
        </w:rPr>
        <w:t>проєкти</w:t>
      </w:r>
      <w:proofErr w:type="spellEnd"/>
      <w:r>
        <w:rPr>
          <w:rFonts w:cs="Times New Roman"/>
          <w:sz w:val="28"/>
          <w:szCs w:val="28"/>
          <w:lang w:val="uk-UA"/>
        </w:rPr>
        <w:t xml:space="preserve"> та програми, що включені до галузевого (секторального) проектного портфеля та відповідають основним напрямам публічного інвестування, визначеним в Додатку 1 до СП, можуть бути включені в Єдиний проектний портфель публічних інвестицій громади та, відповідно, зможуть отримати фінансування за рахунок коштів місцевого бюджету та/або з наданням місцевої підтримки.</w:t>
      </w:r>
    </w:p>
    <w:p w:rsidR="003F56F3" w:rsidRDefault="003F56F3">
      <w:pPr>
        <w:spacing w:after="0"/>
        <w:jc w:val="both"/>
        <w:rPr>
          <w:rFonts w:cs="Times New Roman"/>
          <w:sz w:val="28"/>
          <w:szCs w:val="28"/>
          <w:lang w:val="uk-UA"/>
        </w:rPr>
      </w:pPr>
    </w:p>
    <w:p w:rsidR="003F56F3" w:rsidRDefault="00B61E6C">
      <w:pPr>
        <w:pStyle w:val="1f3"/>
        <w:rPr>
          <w:rFonts w:ascii="Times New Roman" w:eastAsia="Arial Unicode MS" w:hAnsi="Times New Roman" w:cs="Arial Unicode MS"/>
          <w:b/>
          <w:bCs/>
        </w:rPr>
      </w:pPr>
      <w:proofErr w:type="spellStart"/>
      <w:r>
        <w:rPr>
          <w:rFonts w:ascii="Times New Roman" w:eastAsia="Arial Unicode MS" w:hAnsi="Times New Roman"/>
          <w:b/>
          <w:bCs/>
        </w:rPr>
        <w:t>Поляницький</w:t>
      </w:r>
      <w:proofErr w:type="spellEnd"/>
      <w:r>
        <w:rPr>
          <w:rFonts w:ascii="Times New Roman" w:eastAsia="Arial Unicode MS" w:hAnsi="Times New Roman"/>
          <w:b/>
          <w:bCs/>
        </w:rPr>
        <w:t xml:space="preserve"> сільський голова </w:t>
      </w:r>
      <w:r>
        <w:rPr>
          <w:rFonts w:ascii="Times New Roman" w:eastAsia="Arial Unicode MS" w:hAnsi="Times New Roman" w:cs="Arial Unicode MS"/>
          <w:b/>
          <w:bCs/>
        </w:rPr>
        <w:tab/>
      </w:r>
      <w:r>
        <w:rPr>
          <w:rFonts w:ascii="Times New Roman" w:eastAsia="Arial Unicode MS" w:hAnsi="Times New Roman" w:cs="Arial Unicode MS"/>
          <w:b/>
          <w:bCs/>
        </w:rPr>
        <w:tab/>
        <w:t xml:space="preserve">                           </w:t>
      </w:r>
      <w:r>
        <w:rPr>
          <w:rFonts w:ascii="Times New Roman" w:eastAsia="Arial Unicode MS" w:hAnsi="Times New Roman" w:cs="Arial Unicode MS"/>
          <w:b/>
          <w:bCs/>
        </w:rPr>
        <w:tab/>
      </w:r>
      <w:r>
        <w:rPr>
          <w:rFonts w:ascii="Times New Roman" w:eastAsia="Arial Unicode MS" w:hAnsi="Times New Roman" w:cs="Arial Unicode MS"/>
          <w:b/>
          <w:bCs/>
        </w:rPr>
        <w:tab/>
      </w:r>
      <w:r>
        <w:rPr>
          <w:rFonts w:ascii="Times New Roman" w:eastAsia="Arial Unicode MS" w:hAnsi="Times New Roman"/>
          <w:b/>
          <w:bCs/>
        </w:rPr>
        <w:t>Микола ПОЛЯК</w:t>
      </w:r>
    </w:p>
    <w:sectPr w:rsidR="003F56F3">
      <w:footerReference w:type="default" r:id="rId9"/>
      <w:pgSz w:w="12240" w:h="15840"/>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B9F" w:rsidRDefault="00F36B9F">
      <w:pPr>
        <w:spacing w:line="240" w:lineRule="auto"/>
      </w:pPr>
      <w:r>
        <w:separator/>
      </w:r>
    </w:p>
  </w:endnote>
  <w:endnote w:type="continuationSeparator" w:id="0">
    <w:p w:rsidR="00F36B9F" w:rsidRDefault="00F36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309020205020404"/>
    <w:charset w:val="00"/>
    <w:family w:val="auto"/>
    <w:pitch w:val="default"/>
    <w:sig w:usb0="00000000" w:usb1="00000000" w:usb2="00000000" w:usb3="00000000" w:csb0="00000001" w:csb1="00000000"/>
  </w:font>
  <w:font w:name="Arial Unicode MS">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6F3" w:rsidRDefault="003F56F3">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B9F" w:rsidRDefault="00F36B9F">
      <w:pPr>
        <w:spacing w:after="0"/>
      </w:pPr>
      <w:r>
        <w:separator/>
      </w:r>
    </w:p>
  </w:footnote>
  <w:footnote w:type="continuationSeparator" w:id="0">
    <w:p w:rsidR="00F36B9F" w:rsidRDefault="00F36B9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07504587"/>
    <w:multiLevelType w:val="multilevel"/>
    <w:tmpl w:val="0750458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F242E"/>
    <w:multiLevelType w:val="hybridMultilevel"/>
    <w:tmpl w:val="8B2C7D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9DE"/>
    <w:rsid w:val="00034616"/>
    <w:rsid w:val="0006063C"/>
    <w:rsid w:val="0015074B"/>
    <w:rsid w:val="001E4F76"/>
    <w:rsid w:val="0029639D"/>
    <w:rsid w:val="002D5849"/>
    <w:rsid w:val="002F689A"/>
    <w:rsid w:val="00326F90"/>
    <w:rsid w:val="00397F35"/>
    <w:rsid w:val="003D1924"/>
    <w:rsid w:val="003F56F3"/>
    <w:rsid w:val="00411368"/>
    <w:rsid w:val="00534496"/>
    <w:rsid w:val="005C403D"/>
    <w:rsid w:val="005D7618"/>
    <w:rsid w:val="00856AE3"/>
    <w:rsid w:val="008D33C1"/>
    <w:rsid w:val="009D30A1"/>
    <w:rsid w:val="00AA1D8D"/>
    <w:rsid w:val="00B074C1"/>
    <w:rsid w:val="00B47730"/>
    <w:rsid w:val="00B61E6C"/>
    <w:rsid w:val="00CB0664"/>
    <w:rsid w:val="00DF3F66"/>
    <w:rsid w:val="00E10F7B"/>
    <w:rsid w:val="00E56061"/>
    <w:rsid w:val="00E629DE"/>
    <w:rsid w:val="00EC11DF"/>
    <w:rsid w:val="00F36B9F"/>
    <w:rsid w:val="00FC693F"/>
    <w:rsid w:val="00FD0A46"/>
    <w:rsid w:val="193D3D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A3CDC4"/>
  <w14:defaultImageDpi w14:val="300"/>
  <w15:docId w15:val="{64C35D2F-A3EB-4ABE-A8FB-B0BA93D2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qFormat="1"/>
    <w:lsdException w:name="List Bullet" w:unhideWhenUsed="1"/>
    <w:lsdException w:name="List Number" w:unhideWhenUsed="1"/>
    <w:lsdException w:name="List 2" w:unhideWhenUsed="1" w:qFormat="1"/>
    <w:lsdException w:name="List 3" w:unhideWhenUsed="1" w:qFormat="1"/>
    <w:lsdException w:name="List 4" w:semiHidden="1" w:unhideWhenUsed="1"/>
    <w:lsdException w:name="List 5" w:semiHidden="1" w:unhideWhenUsed="1"/>
    <w:lsdException w:name="List Bullet 2" w:unhideWhenUsed="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qFormat="1"/>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rFonts w:ascii="Times New Roman" w:hAnsi="Times New Roman"/>
      <w:sz w:val="24"/>
      <w:szCs w:val="22"/>
      <w:lang w:val="en-US"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uiPriority w:val="99"/>
    <w:unhideWhenUsed/>
    <w:qFormat/>
    <w:pPr>
      <w:spacing w:after="120"/>
    </w:pPr>
  </w:style>
  <w:style w:type="paragraph" w:styleId="23">
    <w:name w:val="Body Text 2"/>
    <w:basedOn w:val="a1"/>
    <w:link w:val="24"/>
    <w:uiPriority w:val="99"/>
    <w:unhideWhenUsed/>
    <w:qFormat/>
    <w:pPr>
      <w:spacing w:after="120" w:line="480" w:lineRule="auto"/>
    </w:pPr>
  </w:style>
  <w:style w:type="paragraph" w:styleId="33">
    <w:name w:val="Body Text 3"/>
    <w:basedOn w:val="a1"/>
    <w:link w:val="34"/>
    <w:uiPriority w:val="99"/>
    <w:unhideWhenUsed/>
    <w:qFormat/>
    <w:pPr>
      <w:spacing w:after="120"/>
    </w:pPr>
    <w:rPr>
      <w:sz w:val="16"/>
      <w:szCs w:val="16"/>
    </w:r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character" w:styleId="a8">
    <w:name w:val="Emphasis"/>
    <w:basedOn w:val="a2"/>
    <w:uiPriority w:val="20"/>
    <w:qFormat/>
    <w:rPr>
      <w:i/>
      <w:iCs/>
    </w:rPr>
  </w:style>
  <w:style w:type="paragraph" w:styleId="a9">
    <w:name w:val="footer"/>
    <w:basedOn w:val="a1"/>
    <w:link w:val="aa"/>
    <w:uiPriority w:val="99"/>
    <w:unhideWhenUsed/>
    <w:qFormat/>
    <w:pPr>
      <w:tabs>
        <w:tab w:val="center" w:pos="4680"/>
        <w:tab w:val="right" w:pos="9360"/>
      </w:tabs>
      <w:spacing w:after="0" w:line="240" w:lineRule="auto"/>
    </w:pPr>
  </w:style>
  <w:style w:type="paragraph" w:styleId="ab">
    <w:name w:val="header"/>
    <w:basedOn w:val="a1"/>
    <w:link w:val="ac"/>
    <w:uiPriority w:val="99"/>
    <w:unhideWhenUsed/>
    <w:qFormat/>
    <w:pPr>
      <w:tabs>
        <w:tab w:val="center" w:pos="4680"/>
        <w:tab w:val="right" w:pos="9360"/>
      </w:tabs>
      <w:spacing w:after="0" w:line="240" w:lineRule="auto"/>
    </w:pPr>
  </w:style>
  <w:style w:type="paragraph" w:styleId="ad">
    <w:name w:val="List"/>
    <w:basedOn w:val="a1"/>
    <w:uiPriority w:val="99"/>
    <w:unhideWhenUsed/>
    <w:qFormat/>
    <w:pPr>
      <w:ind w:left="360" w:hanging="360"/>
      <w:contextualSpacing/>
    </w:pPr>
  </w:style>
  <w:style w:type="paragraph" w:styleId="25">
    <w:name w:val="List 2"/>
    <w:basedOn w:val="a1"/>
    <w:uiPriority w:val="99"/>
    <w:unhideWhenUsed/>
    <w:qFormat/>
    <w:pPr>
      <w:ind w:left="720" w:hanging="360"/>
      <w:contextualSpacing/>
    </w:pPr>
  </w:style>
  <w:style w:type="paragraph" w:styleId="35">
    <w:name w:val="List 3"/>
    <w:basedOn w:val="a1"/>
    <w:uiPriority w:val="99"/>
    <w:unhideWhenUsed/>
    <w:qFormat/>
    <w:pPr>
      <w:ind w:left="1080" w:hanging="360"/>
      <w:contextualSpacing/>
    </w:pPr>
  </w:style>
  <w:style w:type="paragraph" w:styleId="a0">
    <w:name w:val="List Bullet"/>
    <w:basedOn w:val="a1"/>
    <w:uiPriority w:val="99"/>
    <w:unhideWhenUsed/>
    <w:pPr>
      <w:numPr>
        <w:numId w:val="1"/>
      </w:numPr>
      <w:contextualSpacing/>
    </w:pPr>
  </w:style>
  <w:style w:type="paragraph" w:styleId="20">
    <w:name w:val="List Bullet 2"/>
    <w:basedOn w:val="a1"/>
    <w:uiPriority w:val="99"/>
    <w:unhideWhenUsed/>
    <w:pPr>
      <w:numPr>
        <w:numId w:val="2"/>
      </w:numPr>
      <w:contextualSpacing/>
    </w:pPr>
  </w:style>
  <w:style w:type="paragraph" w:styleId="30">
    <w:name w:val="List Bullet 3"/>
    <w:basedOn w:val="a1"/>
    <w:uiPriority w:val="99"/>
    <w:unhideWhenUsed/>
    <w:qFormat/>
    <w:pPr>
      <w:numPr>
        <w:numId w:val="3"/>
      </w:numPr>
      <w:contextualSpacing/>
    </w:pPr>
  </w:style>
  <w:style w:type="paragraph" w:styleId="ae">
    <w:name w:val="List Continue"/>
    <w:basedOn w:val="a1"/>
    <w:uiPriority w:val="99"/>
    <w:unhideWhenUsed/>
    <w:pPr>
      <w:spacing w:after="120"/>
      <w:ind w:left="360"/>
      <w:contextualSpacing/>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
    <w:name w:val="List Number"/>
    <w:basedOn w:val="a1"/>
    <w:uiPriority w:val="99"/>
    <w:unhideWhenUsed/>
    <w:pPr>
      <w:numPr>
        <w:numId w:val="4"/>
      </w:numPr>
      <w:contextualSpacing/>
    </w:pPr>
  </w:style>
  <w:style w:type="paragraph" w:styleId="2">
    <w:name w:val="List Number 2"/>
    <w:basedOn w:val="a1"/>
    <w:uiPriority w:val="99"/>
    <w:unhideWhenUsed/>
    <w:qFormat/>
    <w:pPr>
      <w:numPr>
        <w:numId w:val="5"/>
      </w:numPr>
      <w:contextualSpacing/>
    </w:pPr>
  </w:style>
  <w:style w:type="paragraph" w:styleId="3">
    <w:name w:val="List Number 3"/>
    <w:basedOn w:val="a1"/>
    <w:uiPriority w:val="99"/>
    <w:unhideWhenUsed/>
    <w:qFormat/>
    <w:pPr>
      <w:numPr>
        <w:numId w:val="6"/>
      </w:numPr>
      <w:contextualSpacing/>
    </w:pPr>
  </w:style>
  <w:style w:type="paragraph" w:styleId="af">
    <w:name w:val="macro"/>
    <w:link w:val="af0"/>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styleId="af1">
    <w:name w:val="Strong"/>
    <w:basedOn w:val="a2"/>
    <w:uiPriority w:val="22"/>
    <w:qFormat/>
    <w:rPr>
      <w:b/>
      <w:bCs/>
    </w:rPr>
  </w:style>
  <w:style w:type="paragraph" w:styleId="af2">
    <w:name w:val="Subtitle"/>
    <w:basedOn w:val="a1"/>
    <w:next w:val="a1"/>
    <w:link w:val="af3"/>
    <w:uiPriority w:val="11"/>
    <w:qFormat/>
    <w:rPr>
      <w:rFonts w:asciiTheme="majorHAnsi" w:eastAsiaTheme="majorEastAsia" w:hAnsiTheme="majorHAnsi" w:cstheme="majorBidi"/>
      <w:i/>
      <w:iCs/>
      <w:color w:val="4F81BD" w:themeColor="accent1"/>
      <w:spacing w:val="15"/>
      <w:szCs w:val="24"/>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1"/>
    <w:next w:val="a1"/>
    <w:link w:val="af6"/>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7">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8">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9">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3">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9">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9">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3">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3">
    <w:name w:val="Light Grid Accent 5"/>
    <w:basedOn w:val="a3"/>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3">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4">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0">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0">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0">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0">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0">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0">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a">
    <w:name w:val="Dark List"/>
    <w:basedOn w:val="a3"/>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b">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c">
    <w:name w:val="Colorful List"/>
    <w:basedOn w:val="a3"/>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d">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c">
    <w:name w:val="Верхній колонтитул Знак"/>
    <w:basedOn w:val="a2"/>
    <w:link w:val="ab"/>
    <w:uiPriority w:val="99"/>
    <w:qFormat/>
  </w:style>
  <w:style w:type="character" w:customStyle="1" w:styleId="aa">
    <w:name w:val="Нижній колонтитул Знак"/>
    <w:basedOn w:val="a2"/>
    <w:link w:val="a9"/>
    <w:uiPriority w:val="99"/>
    <w:qFormat/>
  </w:style>
  <w:style w:type="paragraph" w:styleId="afe">
    <w:name w:val="No Spacing"/>
    <w:uiPriority w:val="1"/>
    <w:qFormat/>
    <w:rPr>
      <w:sz w:val="22"/>
      <w:szCs w:val="22"/>
      <w:lang w:val="en-US" w:eastAsia="en-US"/>
    </w:rPr>
  </w:style>
  <w:style w:type="character" w:customStyle="1" w:styleId="10">
    <w:name w:val="Заголовок 1 Знак"/>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qFormat/>
    <w:rPr>
      <w:rFonts w:asciiTheme="majorHAnsi" w:eastAsiaTheme="majorEastAsia" w:hAnsiTheme="majorHAnsi" w:cstheme="majorBidi"/>
      <w:b/>
      <w:bCs/>
      <w:color w:val="4F81BD" w:themeColor="accent1"/>
    </w:rPr>
  </w:style>
  <w:style w:type="character" w:customStyle="1" w:styleId="af6">
    <w:name w:val="Назва Знак"/>
    <w:basedOn w:val="a2"/>
    <w:link w:val="af5"/>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3">
    <w:name w:val="Підзаголовок Знак"/>
    <w:basedOn w:val="a2"/>
    <w:link w:val="af2"/>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6">
    <w:name w:val="Основний текст Знак"/>
    <w:basedOn w:val="a2"/>
    <w:link w:val="a5"/>
    <w:uiPriority w:val="99"/>
    <w:qFormat/>
  </w:style>
  <w:style w:type="character" w:customStyle="1" w:styleId="24">
    <w:name w:val="Основний текст 2 Знак"/>
    <w:basedOn w:val="a2"/>
    <w:link w:val="23"/>
    <w:uiPriority w:val="99"/>
    <w:qFormat/>
  </w:style>
  <w:style w:type="character" w:customStyle="1" w:styleId="34">
    <w:name w:val="Основний текст 3 Знак"/>
    <w:basedOn w:val="a2"/>
    <w:link w:val="33"/>
    <w:uiPriority w:val="99"/>
    <w:qFormat/>
    <w:rPr>
      <w:sz w:val="16"/>
      <w:szCs w:val="16"/>
    </w:rPr>
  </w:style>
  <w:style w:type="character" w:customStyle="1" w:styleId="af0">
    <w:name w:val="Текст макросу Знак"/>
    <w:basedOn w:val="a2"/>
    <w:link w:val="af"/>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Цитата Знак"/>
    <w:basedOn w:val="a2"/>
    <w:link w:val="aff0"/>
    <w:uiPriority w:val="29"/>
    <w:rPr>
      <w:i/>
      <w:iCs/>
      <w:color w:val="000000" w:themeColor="text1"/>
    </w:rPr>
  </w:style>
  <w:style w:type="character" w:customStyle="1" w:styleId="40">
    <w:name w:val="Заголовок 4 Знак"/>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Заголовок 6 Знак"/>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Заголовок 7 Знак"/>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Насичена цитата Знак"/>
    <w:basedOn w:val="a2"/>
    <w:link w:val="aff2"/>
    <w:uiPriority w:val="30"/>
    <w:rPr>
      <w:b/>
      <w:bCs/>
      <w:i/>
      <w:iCs/>
      <w:color w:val="4F81BD" w:themeColor="accent1"/>
    </w:rPr>
  </w:style>
  <w:style w:type="character" w:customStyle="1" w:styleId="1d">
    <w:name w:val="Слабке виокремлення1"/>
    <w:basedOn w:val="a2"/>
    <w:uiPriority w:val="19"/>
    <w:qFormat/>
    <w:rPr>
      <w:i/>
      <w:iCs/>
      <w:color w:val="7F7F7F" w:themeColor="text1" w:themeTint="80"/>
    </w:rPr>
  </w:style>
  <w:style w:type="character" w:customStyle="1" w:styleId="1e">
    <w:name w:val="Сильне виокремлення1"/>
    <w:basedOn w:val="a2"/>
    <w:uiPriority w:val="21"/>
    <w:qFormat/>
    <w:rPr>
      <w:b/>
      <w:bCs/>
      <w:i/>
      <w:iCs/>
      <w:color w:val="4F81BD" w:themeColor="accent1"/>
    </w:rPr>
  </w:style>
  <w:style w:type="character" w:customStyle="1" w:styleId="1f">
    <w:name w:val="Слабке посилання1"/>
    <w:basedOn w:val="a2"/>
    <w:uiPriority w:val="31"/>
    <w:qFormat/>
    <w:rPr>
      <w:smallCaps/>
      <w:color w:val="C0504D" w:themeColor="accent2"/>
      <w:u w:val="single"/>
    </w:rPr>
  </w:style>
  <w:style w:type="character" w:customStyle="1" w:styleId="1f0">
    <w:name w:val="Сильне посилання1"/>
    <w:basedOn w:val="a2"/>
    <w:uiPriority w:val="32"/>
    <w:qFormat/>
    <w:rPr>
      <w:b/>
      <w:bCs/>
      <w:smallCaps/>
      <w:color w:val="C0504D" w:themeColor="accent2"/>
      <w:spacing w:val="5"/>
      <w:u w:val="single"/>
    </w:rPr>
  </w:style>
  <w:style w:type="character" w:customStyle="1" w:styleId="1f1">
    <w:name w:val="Назва книги1"/>
    <w:basedOn w:val="a2"/>
    <w:uiPriority w:val="33"/>
    <w:qFormat/>
    <w:rPr>
      <w:b/>
      <w:bCs/>
      <w:smallCaps/>
      <w:spacing w:val="5"/>
    </w:rPr>
  </w:style>
  <w:style w:type="paragraph" w:customStyle="1" w:styleId="1f2">
    <w:name w:val="Заголовок змісту1"/>
    <w:basedOn w:val="1"/>
    <w:next w:val="a1"/>
    <w:uiPriority w:val="39"/>
    <w:semiHidden/>
    <w:unhideWhenUsed/>
    <w:qFormat/>
    <w:pPr>
      <w:outlineLvl w:val="9"/>
    </w:pPr>
  </w:style>
  <w:style w:type="paragraph" w:customStyle="1" w:styleId="1f3">
    <w:name w:val="Звичайний1"/>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3F65A-8507-48E0-B6C2-E352708F6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7143</Words>
  <Characters>4073</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cp:lastModifiedBy>
  <cp:revision>8</cp:revision>
  <dcterms:created xsi:type="dcterms:W3CDTF">2026-08-13T13:25:00Z</dcterms:created>
  <dcterms:modified xsi:type="dcterms:W3CDTF">2026-08-13T13:48:00Z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eyJoZGlkIjoiZTNiODEwZTY1N2FlZjM5MGEzM2ViZDg2MDc2ZGE1N2UifQ==</vt:lpwstr>
  </property>
  <property fmtid="{D5CDD505-2E9C-101B-9397-08002B2CF9AE}" pid="3" name="KSOProductBuildVer">
    <vt:lpwstr>1033-12.1.0.28032</vt:lpwstr>
  </property>
  <property fmtid="{D5CDD505-2E9C-101B-9397-08002B2CF9AE}" pid="4" name="ICV">
    <vt:lpwstr>B484E8A064BD440C98354A0FCD85C679_12</vt:lpwstr>
  </property>
</Properties>
</file>